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AD98C1" w14:textId="77777777" w:rsidR="00BF2C09" w:rsidRDefault="00A66E4E">
      <w:pPr>
        <w:pStyle w:val="FirstParagraph"/>
      </w:pPr>
      <w:r>
        <w:rPr>
          <w:b/>
          <w:bCs/>
        </w:rPr>
        <w:t>CONTRAT DE LOCATION SAISONNIÈRE</w:t>
      </w:r>
    </w:p>
    <w:p w14:paraId="3EAD98C2" w14:textId="77777777" w:rsidR="00BF2C09" w:rsidRDefault="00A66E4E">
      <w:pPr>
        <w:pStyle w:val="Corpsdetexte"/>
      </w:pPr>
      <w:r>
        <w:rPr>
          <w:i/>
          <w:iCs/>
        </w:rPr>
        <w:t>Meublé de tourisme — Articles L.324-1 et L.324-2 du Code du tourisme</w:t>
      </w:r>
    </w:p>
    <w:p w14:paraId="3EAD98C3" w14:textId="77777777" w:rsidR="00BF2C09" w:rsidRDefault="00A66E4E">
      <w:pPr>
        <w:pStyle w:val="Corpsdetexte"/>
      </w:pPr>
      <w:r>
        <w:rPr>
          <w:b/>
          <w:bCs/>
        </w:rPr>
        <w:t>1. LES PARTIES</w:t>
      </w:r>
    </w:p>
    <w:p w14:paraId="3EAD98C4" w14:textId="77777777" w:rsidR="00BF2C09" w:rsidRDefault="00A66E4E">
      <w:pPr>
        <w:pStyle w:val="Corpsdetexte"/>
      </w:pPr>
      <w:r>
        <w:rPr>
          <w:b/>
          <w:bCs/>
        </w:rPr>
        <w:t>LE BAILLEUR</w:t>
      </w:r>
    </w:p>
    <w:tbl>
      <w:tblPr>
        <w:tblStyle w:val="Table"/>
        <w:tblW w:w="0" w:type="auto"/>
        <w:tblLook w:val="0020" w:firstRow="1" w:lastRow="0" w:firstColumn="0" w:lastColumn="0" w:noHBand="0" w:noVBand="0"/>
      </w:tblPr>
      <w:tblGrid>
        <w:gridCol w:w="3246"/>
        <w:gridCol w:w="4855"/>
      </w:tblGrid>
      <w:tr w:rsidR="00BF2C09" w14:paraId="3EAD98C7"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8C5" w14:textId="77777777" w:rsidR="00BF2C09" w:rsidRDefault="00A66E4E">
            <w:pPr>
              <w:pStyle w:val="Compact"/>
            </w:pPr>
            <w:r>
              <w:rPr>
                <w:b/>
                <w:bCs/>
              </w:rPr>
              <w:t>Dénomination</w:t>
            </w:r>
          </w:p>
        </w:tc>
        <w:tc>
          <w:tcPr>
            <w:tcW w:w="0" w:type="auto"/>
          </w:tcPr>
          <w:p w14:paraId="3EAD98C6" w14:textId="77777777" w:rsidR="00BF2C09" w:rsidRDefault="00A66E4E">
            <w:pPr>
              <w:pStyle w:val="Compact"/>
            </w:pPr>
            <w:r>
              <w:t>SCI PAYOUT</w:t>
            </w:r>
          </w:p>
        </w:tc>
      </w:tr>
      <w:tr w:rsidR="00BF2C09" w14:paraId="3EAD98CA" w14:textId="77777777">
        <w:tc>
          <w:tcPr>
            <w:tcW w:w="0" w:type="auto"/>
          </w:tcPr>
          <w:p w14:paraId="3EAD98C8" w14:textId="77777777" w:rsidR="00BF2C09" w:rsidRDefault="00A66E4E">
            <w:pPr>
              <w:pStyle w:val="Compact"/>
            </w:pPr>
            <w:r>
              <w:rPr>
                <w:b/>
                <w:bCs/>
              </w:rPr>
              <w:t>Forme juridique</w:t>
            </w:r>
          </w:p>
        </w:tc>
        <w:tc>
          <w:tcPr>
            <w:tcW w:w="0" w:type="auto"/>
          </w:tcPr>
          <w:p w14:paraId="3EAD98C9" w14:textId="77777777" w:rsidR="00BF2C09" w:rsidRDefault="00A66E4E">
            <w:pPr>
              <w:pStyle w:val="Compact"/>
            </w:pPr>
            <w:r>
              <w:t>Société civile immobilière</w:t>
            </w:r>
          </w:p>
        </w:tc>
      </w:tr>
      <w:tr w:rsidR="00BF2C09" w14:paraId="3EAD98CD" w14:textId="77777777">
        <w:tc>
          <w:tcPr>
            <w:tcW w:w="0" w:type="auto"/>
          </w:tcPr>
          <w:p w14:paraId="3EAD98CB" w14:textId="77777777" w:rsidR="00BF2C09" w:rsidRDefault="00A66E4E">
            <w:pPr>
              <w:pStyle w:val="Compact"/>
            </w:pPr>
            <w:r>
              <w:rPr>
                <w:b/>
                <w:bCs/>
              </w:rPr>
              <w:t>Siège social</w:t>
            </w:r>
          </w:p>
        </w:tc>
        <w:tc>
          <w:tcPr>
            <w:tcW w:w="0" w:type="auto"/>
          </w:tcPr>
          <w:p w14:paraId="3EAD98CC" w14:textId="77777777" w:rsidR="00BF2C09" w:rsidRDefault="00A66E4E">
            <w:pPr>
              <w:pStyle w:val="Compact"/>
            </w:pPr>
            <w:r>
              <w:t>7 rue de la Rance, 22690 La Vicomté-sur-Rance</w:t>
            </w:r>
          </w:p>
        </w:tc>
      </w:tr>
      <w:tr w:rsidR="00BF2C09" w14:paraId="3EAD98D0" w14:textId="77777777">
        <w:tc>
          <w:tcPr>
            <w:tcW w:w="0" w:type="auto"/>
          </w:tcPr>
          <w:p w14:paraId="3EAD98CE" w14:textId="77777777" w:rsidR="00BF2C09" w:rsidRDefault="00A66E4E">
            <w:pPr>
              <w:pStyle w:val="Compact"/>
            </w:pPr>
            <w:r>
              <w:rPr>
                <w:b/>
                <w:bCs/>
              </w:rPr>
              <w:t>SIRET</w:t>
            </w:r>
          </w:p>
        </w:tc>
        <w:tc>
          <w:tcPr>
            <w:tcW w:w="0" w:type="auto"/>
          </w:tcPr>
          <w:p w14:paraId="3EAD98CF" w14:textId="77777777" w:rsidR="00BF2C09" w:rsidRDefault="00A66E4E">
            <w:pPr>
              <w:pStyle w:val="Compact"/>
            </w:pPr>
            <w:r>
              <w:t>820 152 429 00016</w:t>
            </w:r>
          </w:p>
        </w:tc>
      </w:tr>
      <w:tr w:rsidR="00BF2C09" w14:paraId="3EAD98D3" w14:textId="77777777">
        <w:tc>
          <w:tcPr>
            <w:tcW w:w="0" w:type="auto"/>
          </w:tcPr>
          <w:p w14:paraId="3EAD98D1" w14:textId="77777777" w:rsidR="00BF2C09" w:rsidRDefault="00A66E4E">
            <w:pPr>
              <w:pStyle w:val="Compact"/>
            </w:pPr>
            <w:r>
              <w:rPr>
                <w:b/>
                <w:bCs/>
              </w:rPr>
              <w:t>N° TVA intracommunautaire</w:t>
            </w:r>
          </w:p>
        </w:tc>
        <w:tc>
          <w:tcPr>
            <w:tcW w:w="0" w:type="auto"/>
          </w:tcPr>
          <w:p w14:paraId="3EAD98D2" w14:textId="77777777" w:rsidR="00BF2C09" w:rsidRDefault="00A66E4E">
            <w:pPr>
              <w:pStyle w:val="Compact"/>
            </w:pPr>
            <w:r>
              <w:t>FR16 820152429</w:t>
            </w:r>
          </w:p>
        </w:tc>
      </w:tr>
      <w:tr w:rsidR="00BF2C09" w14:paraId="3EAD98D6" w14:textId="77777777">
        <w:tc>
          <w:tcPr>
            <w:tcW w:w="0" w:type="auto"/>
          </w:tcPr>
          <w:p w14:paraId="3EAD98D4" w14:textId="77777777" w:rsidR="00BF2C09" w:rsidRDefault="00A66E4E">
            <w:pPr>
              <w:pStyle w:val="Compact"/>
            </w:pPr>
            <w:r>
              <w:rPr>
                <w:b/>
                <w:bCs/>
              </w:rPr>
              <w:t>Représentée par</w:t>
            </w:r>
          </w:p>
        </w:tc>
        <w:tc>
          <w:tcPr>
            <w:tcW w:w="0" w:type="auto"/>
          </w:tcPr>
          <w:p w14:paraId="3EAD98D5" w14:textId="77777777" w:rsidR="00BF2C09" w:rsidRDefault="00A66E4E">
            <w:pPr>
              <w:pStyle w:val="Compact"/>
            </w:pPr>
            <w:r>
              <w:t>Servane Léaignel, gérante</w:t>
            </w:r>
          </w:p>
        </w:tc>
      </w:tr>
      <w:tr w:rsidR="00BF2C09" w14:paraId="3EAD98D9" w14:textId="77777777">
        <w:tc>
          <w:tcPr>
            <w:tcW w:w="0" w:type="auto"/>
          </w:tcPr>
          <w:p w14:paraId="3EAD98D7" w14:textId="77777777" w:rsidR="00BF2C09" w:rsidRDefault="00A66E4E">
            <w:pPr>
              <w:pStyle w:val="Compact"/>
            </w:pPr>
            <w:r>
              <w:rPr>
                <w:b/>
                <w:bCs/>
              </w:rPr>
              <w:t>Téléphone</w:t>
            </w:r>
          </w:p>
        </w:tc>
        <w:tc>
          <w:tcPr>
            <w:tcW w:w="0" w:type="auto"/>
          </w:tcPr>
          <w:p w14:paraId="3EAD98D8" w14:textId="77777777" w:rsidR="00BF2C09" w:rsidRDefault="00A66E4E">
            <w:pPr>
              <w:pStyle w:val="Compact"/>
            </w:pPr>
            <w:r>
              <w:t>0789897795</w:t>
            </w:r>
          </w:p>
        </w:tc>
      </w:tr>
      <w:tr w:rsidR="00BF2C09" w14:paraId="3EAD98DC" w14:textId="77777777">
        <w:tc>
          <w:tcPr>
            <w:tcW w:w="0" w:type="auto"/>
          </w:tcPr>
          <w:p w14:paraId="3EAD98DA" w14:textId="77777777" w:rsidR="00BF2C09" w:rsidRDefault="00A66E4E">
            <w:pPr>
              <w:pStyle w:val="Compact"/>
            </w:pPr>
            <w:r>
              <w:rPr>
                <w:b/>
                <w:bCs/>
              </w:rPr>
              <w:t>Adresse e-mail</w:t>
            </w:r>
          </w:p>
        </w:tc>
        <w:tc>
          <w:tcPr>
            <w:tcW w:w="0" w:type="auto"/>
          </w:tcPr>
          <w:p w14:paraId="3EAD98DB" w14:textId="77777777" w:rsidR="00BF2C09" w:rsidRDefault="00A66E4E">
            <w:pPr>
              <w:pStyle w:val="Compact"/>
            </w:pPr>
            <w:r>
              <w:t>sleaignel@gmail.com</w:t>
            </w:r>
          </w:p>
        </w:tc>
      </w:tr>
    </w:tbl>
    <w:p w14:paraId="3EAD98DD" w14:textId="77777777" w:rsidR="00BF2C09" w:rsidRDefault="00A66E4E">
      <w:pPr>
        <w:pStyle w:val="Corpsdetexte"/>
      </w:pPr>
      <w:r>
        <w:rPr>
          <w:b/>
          <w:bCs/>
        </w:rPr>
        <w:t>LE LOCATAIRE</w:t>
      </w:r>
    </w:p>
    <w:tbl>
      <w:tblPr>
        <w:tblStyle w:val="Table"/>
        <w:tblW w:w="0" w:type="auto"/>
        <w:tblLook w:val="0020" w:firstRow="1" w:lastRow="0" w:firstColumn="0" w:lastColumn="0" w:noHBand="0" w:noVBand="0"/>
      </w:tblPr>
      <w:tblGrid>
        <w:gridCol w:w="2085"/>
        <w:gridCol w:w="1343"/>
      </w:tblGrid>
      <w:tr w:rsidR="00BF2C09" w14:paraId="3EAD98E0"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8DE" w14:textId="77777777" w:rsidR="00BF2C09" w:rsidRDefault="00A66E4E">
            <w:pPr>
              <w:pStyle w:val="Compact"/>
            </w:pPr>
            <w:r>
              <w:rPr>
                <w:b/>
                <w:bCs/>
              </w:rPr>
              <w:t>Nom et prénom</w:t>
            </w:r>
          </w:p>
        </w:tc>
        <w:tc>
          <w:tcPr>
            <w:tcW w:w="0" w:type="auto"/>
          </w:tcPr>
          <w:p w14:paraId="3EAD98DF" w14:textId="77777777" w:rsidR="00BF2C09" w:rsidRDefault="00A66E4E">
            <w:pPr>
              <w:pStyle w:val="Compact"/>
            </w:pPr>
            <w:r>
              <w:t>à compléter</w:t>
            </w:r>
          </w:p>
        </w:tc>
      </w:tr>
      <w:tr w:rsidR="00BF2C09" w14:paraId="3EAD98E3" w14:textId="77777777">
        <w:tc>
          <w:tcPr>
            <w:tcW w:w="0" w:type="auto"/>
          </w:tcPr>
          <w:p w14:paraId="3EAD98E1" w14:textId="77777777" w:rsidR="00BF2C09" w:rsidRDefault="00A66E4E">
            <w:pPr>
              <w:pStyle w:val="Compact"/>
            </w:pPr>
            <w:r>
              <w:rPr>
                <w:b/>
                <w:bCs/>
              </w:rPr>
              <w:t>Adresse</w:t>
            </w:r>
          </w:p>
        </w:tc>
        <w:tc>
          <w:tcPr>
            <w:tcW w:w="0" w:type="auto"/>
          </w:tcPr>
          <w:p w14:paraId="3EAD98E2" w14:textId="77777777" w:rsidR="00BF2C09" w:rsidRDefault="00A66E4E">
            <w:pPr>
              <w:pStyle w:val="Compact"/>
            </w:pPr>
            <w:r>
              <w:t>à compléter</w:t>
            </w:r>
          </w:p>
        </w:tc>
      </w:tr>
      <w:tr w:rsidR="00BF2C09" w14:paraId="3EAD98E6" w14:textId="77777777">
        <w:tc>
          <w:tcPr>
            <w:tcW w:w="0" w:type="auto"/>
          </w:tcPr>
          <w:p w14:paraId="3EAD98E4" w14:textId="77777777" w:rsidR="00BF2C09" w:rsidRDefault="00A66E4E">
            <w:pPr>
              <w:pStyle w:val="Compact"/>
            </w:pPr>
            <w:r>
              <w:rPr>
                <w:b/>
                <w:bCs/>
              </w:rPr>
              <w:t>Téléphone</w:t>
            </w:r>
          </w:p>
        </w:tc>
        <w:tc>
          <w:tcPr>
            <w:tcW w:w="0" w:type="auto"/>
          </w:tcPr>
          <w:p w14:paraId="3EAD98E5" w14:textId="77777777" w:rsidR="00BF2C09" w:rsidRDefault="00A66E4E">
            <w:pPr>
              <w:pStyle w:val="Compact"/>
            </w:pPr>
            <w:r>
              <w:t>à compléter</w:t>
            </w:r>
          </w:p>
        </w:tc>
      </w:tr>
      <w:tr w:rsidR="00BF2C09" w14:paraId="3EAD98E9" w14:textId="77777777">
        <w:tc>
          <w:tcPr>
            <w:tcW w:w="0" w:type="auto"/>
          </w:tcPr>
          <w:p w14:paraId="3EAD98E7" w14:textId="77777777" w:rsidR="00BF2C09" w:rsidRDefault="00A66E4E">
            <w:pPr>
              <w:pStyle w:val="Compact"/>
            </w:pPr>
            <w:r>
              <w:rPr>
                <w:b/>
                <w:bCs/>
              </w:rPr>
              <w:t>Adresse e-mail</w:t>
            </w:r>
          </w:p>
        </w:tc>
        <w:tc>
          <w:tcPr>
            <w:tcW w:w="0" w:type="auto"/>
          </w:tcPr>
          <w:p w14:paraId="3EAD98E8" w14:textId="77777777" w:rsidR="00BF2C09" w:rsidRDefault="00A66E4E">
            <w:pPr>
              <w:pStyle w:val="Compact"/>
            </w:pPr>
            <w:r>
              <w:t>à compléter</w:t>
            </w:r>
          </w:p>
        </w:tc>
      </w:tr>
      <w:tr w:rsidR="00BF2C09" w14:paraId="3EAD98EC" w14:textId="77777777">
        <w:tc>
          <w:tcPr>
            <w:tcW w:w="0" w:type="auto"/>
          </w:tcPr>
          <w:p w14:paraId="3EAD98EA" w14:textId="77777777" w:rsidR="00BF2C09" w:rsidRDefault="00A66E4E">
            <w:pPr>
              <w:pStyle w:val="Compact"/>
            </w:pPr>
            <w:r>
              <w:rPr>
                <w:b/>
                <w:bCs/>
              </w:rPr>
              <w:t>Pièce d’identité n°</w:t>
            </w:r>
          </w:p>
        </w:tc>
        <w:tc>
          <w:tcPr>
            <w:tcW w:w="0" w:type="auto"/>
          </w:tcPr>
          <w:p w14:paraId="3EAD98EB" w14:textId="77777777" w:rsidR="00BF2C09" w:rsidRDefault="00A66E4E">
            <w:pPr>
              <w:pStyle w:val="Compact"/>
            </w:pPr>
            <w:r>
              <w:t>à compléter</w:t>
            </w:r>
          </w:p>
        </w:tc>
      </w:tr>
    </w:tbl>
    <w:p w14:paraId="3EAD98ED" w14:textId="77777777" w:rsidR="00BF2C09" w:rsidRDefault="00A66E4E">
      <w:pPr>
        <w:pStyle w:val="Corpsdetexte"/>
      </w:pPr>
      <w:r>
        <w:rPr>
          <w:b/>
          <w:bCs/>
        </w:rPr>
        <w:t>2. DÉSIGNATION DU LOGEMENT</w:t>
      </w:r>
    </w:p>
    <w:tbl>
      <w:tblPr>
        <w:tblStyle w:val="Table"/>
        <w:tblW w:w="5000" w:type="pct"/>
        <w:tblLook w:val="0020" w:firstRow="1" w:lastRow="0" w:firstColumn="0" w:lastColumn="0" w:noHBand="0" w:noVBand="0"/>
      </w:tblPr>
      <w:tblGrid>
        <w:gridCol w:w="2507"/>
        <w:gridCol w:w="6899"/>
      </w:tblGrid>
      <w:tr w:rsidR="00BF2C09" w14:paraId="3EAD98F0"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8EE" w14:textId="77777777" w:rsidR="00BF2C09" w:rsidRDefault="00A66E4E">
            <w:pPr>
              <w:pStyle w:val="Compact"/>
            </w:pPr>
            <w:r>
              <w:rPr>
                <w:b/>
                <w:bCs/>
              </w:rPr>
              <w:t>Adresse</w:t>
            </w:r>
          </w:p>
        </w:tc>
        <w:tc>
          <w:tcPr>
            <w:tcW w:w="0" w:type="auto"/>
          </w:tcPr>
          <w:p w14:paraId="3EAD98EF" w14:textId="77777777" w:rsidR="00BF2C09" w:rsidRDefault="00A66E4E">
            <w:pPr>
              <w:pStyle w:val="Compact"/>
            </w:pPr>
            <w:r>
              <w:t>7 rue de la Rance, 22690 La Vicomté-sur-Rance</w:t>
            </w:r>
          </w:p>
        </w:tc>
      </w:tr>
      <w:tr w:rsidR="00BF2C09" w14:paraId="3EAD98F3" w14:textId="77777777">
        <w:tc>
          <w:tcPr>
            <w:tcW w:w="0" w:type="auto"/>
          </w:tcPr>
          <w:p w14:paraId="3EAD98F1" w14:textId="77777777" w:rsidR="00BF2C09" w:rsidRDefault="00A66E4E">
            <w:pPr>
              <w:pStyle w:val="Compact"/>
            </w:pPr>
            <w:r>
              <w:rPr>
                <w:b/>
                <w:bCs/>
              </w:rPr>
              <w:t>Type de bien</w:t>
            </w:r>
          </w:p>
        </w:tc>
        <w:tc>
          <w:tcPr>
            <w:tcW w:w="0" w:type="auto"/>
          </w:tcPr>
          <w:p w14:paraId="3EAD98F2" w14:textId="77777777" w:rsidR="00BF2C09" w:rsidRDefault="00A66E4E">
            <w:pPr>
              <w:pStyle w:val="Compact"/>
            </w:pPr>
            <w:r>
              <w:t>Maison meublée</w:t>
            </w:r>
          </w:p>
        </w:tc>
      </w:tr>
      <w:tr w:rsidR="00BF2C09" w14:paraId="3EAD98F6" w14:textId="77777777">
        <w:tc>
          <w:tcPr>
            <w:tcW w:w="0" w:type="auto"/>
          </w:tcPr>
          <w:p w14:paraId="3EAD98F4" w14:textId="77777777" w:rsidR="00BF2C09" w:rsidRDefault="00A66E4E">
            <w:pPr>
              <w:pStyle w:val="Compact"/>
            </w:pPr>
            <w:r>
              <w:rPr>
                <w:b/>
                <w:bCs/>
              </w:rPr>
              <w:t>Surface habitable</w:t>
            </w:r>
          </w:p>
        </w:tc>
        <w:tc>
          <w:tcPr>
            <w:tcW w:w="0" w:type="auto"/>
          </w:tcPr>
          <w:p w14:paraId="3EAD98F5" w14:textId="77777777" w:rsidR="00BF2C09" w:rsidRDefault="00A66E4E">
            <w:pPr>
              <w:pStyle w:val="Compact"/>
            </w:pPr>
            <w:r>
              <w:t>190 m²</w:t>
            </w:r>
          </w:p>
        </w:tc>
      </w:tr>
      <w:tr w:rsidR="00BF2C09" w14:paraId="3EAD98F9" w14:textId="77777777">
        <w:tc>
          <w:tcPr>
            <w:tcW w:w="0" w:type="auto"/>
          </w:tcPr>
          <w:p w14:paraId="3EAD98F7" w14:textId="77777777" w:rsidR="00BF2C09" w:rsidRDefault="00A66E4E">
            <w:pPr>
              <w:pStyle w:val="Compact"/>
            </w:pPr>
            <w:r>
              <w:rPr>
                <w:b/>
                <w:bCs/>
              </w:rPr>
              <w:t>Nombre de pièces principales</w:t>
            </w:r>
          </w:p>
        </w:tc>
        <w:tc>
          <w:tcPr>
            <w:tcW w:w="0" w:type="auto"/>
          </w:tcPr>
          <w:p w14:paraId="3EAD98F8" w14:textId="77777777" w:rsidR="00BF2C09" w:rsidRDefault="00A66E4E">
            <w:pPr>
              <w:pStyle w:val="Compact"/>
            </w:pPr>
            <w:r>
              <w:t>6</w:t>
            </w:r>
          </w:p>
        </w:tc>
      </w:tr>
      <w:tr w:rsidR="00BF2C09" w14:paraId="3EAD98FC" w14:textId="77777777">
        <w:tc>
          <w:tcPr>
            <w:tcW w:w="0" w:type="auto"/>
          </w:tcPr>
          <w:p w14:paraId="3EAD98FA" w14:textId="77777777" w:rsidR="00BF2C09" w:rsidRDefault="00A66E4E">
            <w:pPr>
              <w:pStyle w:val="Compact"/>
            </w:pPr>
            <w:r>
              <w:rPr>
                <w:b/>
                <w:bCs/>
              </w:rPr>
              <w:t>Nombre de chambres</w:t>
            </w:r>
          </w:p>
        </w:tc>
        <w:tc>
          <w:tcPr>
            <w:tcW w:w="0" w:type="auto"/>
          </w:tcPr>
          <w:p w14:paraId="3EAD98FB" w14:textId="77777777" w:rsidR="00BF2C09" w:rsidRDefault="00A66E4E">
            <w:pPr>
              <w:pStyle w:val="Compact"/>
            </w:pPr>
            <w:r>
              <w:t>4 chambres pour 8 personnes, plus une cinquième chambre ouverte pour les groupes de plus de 8 personnes, jusqu’à 12</w:t>
            </w:r>
          </w:p>
        </w:tc>
      </w:tr>
      <w:tr w:rsidR="00BF2C09" w14:paraId="3EAD98FF" w14:textId="77777777">
        <w:tc>
          <w:tcPr>
            <w:tcW w:w="0" w:type="auto"/>
          </w:tcPr>
          <w:p w14:paraId="3EAD98FD" w14:textId="77777777" w:rsidR="00BF2C09" w:rsidRDefault="00A66E4E">
            <w:pPr>
              <w:pStyle w:val="Compact"/>
            </w:pPr>
            <w:r>
              <w:rPr>
                <w:b/>
                <w:bCs/>
              </w:rPr>
              <w:t>Capacité maximale d’accueil</w:t>
            </w:r>
          </w:p>
        </w:tc>
        <w:tc>
          <w:tcPr>
            <w:tcW w:w="0" w:type="auto"/>
          </w:tcPr>
          <w:p w14:paraId="3EAD98FE" w14:textId="77777777" w:rsidR="00BF2C09" w:rsidRDefault="00A66E4E">
            <w:pPr>
              <w:pStyle w:val="Compact"/>
            </w:pPr>
            <w:r>
              <w:t>De 2 à 12 personnes (tarif de base pour 8 personnes, supplément par personne au-delà, dans la limite de 12)</w:t>
            </w:r>
          </w:p>
        </w:tc>
      </w:tr>
      <w:tr w:rsidR="00BF2C09" w14:paraId="3EAD9902" w14:textId="77777777">
        <w:tc>
          <w:tcPr>
            <w:tcW w:w="0" w:type="auto"/>
          </w:tcPr>
          <w:p w14:paraId="3EAD9900" w14:textId="77777777" w:rsidR="00BF2C09" w:rsidRDefault="00A66E4E">
            <w:pPr>
              <w:pStyle w:val="Compact"/>
            </w:pPr>
            <w:r>
              <w:rPr>
                <w:b/>
                <w:bCs/>
              </w:rPr>
              <w:t>N° de déclaration en mairie</w:t>
            </w:r>
          </w:p>
        </w:tc>
        <w:tc>
          <w:tcPr>
            <w:tcW w:w="0" w:type="auto"/>
          </w:tcPr>
          <w:p w14:paraId="3EAD9901" w14:textId="77777777" w:rsidR="00BF2C09" w:rsidRDefault="00A66E4E">
            <w:pPr>
              <w:pStyle w:val="Compact"/>
            </w:pPr>
            <w:r>
              <w:t>Logement déclaré en mairie — numéro à indiquer</w:t>
            </w:r>
          </w:p>
        </w:tc>
      </w:tr>
      <w:tr w:rsidR="00BF2C09" w14:paraId="3EAD9905" w14:textId="77777777">
        <w:tc>
          <w:tcPr>
            <w:tcW w:w="0" w:type="auto"/>
          </w:tcPr>
          <w:p w14:paraId="3EAD9903" w14:textId="77777777" w:rsidR="00BF2C09" w:rsidRDefault="00A66E4E">
            <w:pPr>
              <w:pStyle w:val="Compact"/>
            </w:pPr>
            <w:r>
              <w:rPr>
                <w:b/>
                <w:bCs/>
              </w:rPr>
              <w:t>Classement meublé de tourisme</w:t>
            </w:r>
          </w:p>
        </w:tc>
        <w:tc>
          <w:tcPr>
            <w:tcW w:w="0" w:type="auto"/>
          </w:tcPr>
          <w:p w14:paraId="3EAD9904" w14:textId="77777777" w:rsidR="00BF2C09" w:rsidRDefault="00A66E4E">
            <w:pPr>
              <w:pStyle w:val="Compact"/>
            </w:pPr>
            <w:r>
              <w:t>Non classé à ce jour</w:t>
            </w:r>
          </w:p>
        </w:tc>
      </w:tr>
    </w:tbl>
    <w:p w14:paraId="3EAD9906" w14:textId="77777777" w:rsidR="00BF2C09" w:rsidRDefault="00A66E4E">
      <w:pPr>
        <w:pStyle w:val="Corpsdetexte"/>
      </w:pPr>
      <w:r>
        <w:rPr>
          <w:i/>
          <w:iCs/>
        </w:rPr>
        <w:t>Un descriptif détaillé du logement et de son équipement est annexé au présent contrat (Annexe 1). Le locataire reconnaît en avoir pris connaissance avant la signature.</w:t>
      </w:r>
    </w:p>
    <w:p w14:paraId="3EAD9907" w14:textId="77777777" w:rsidR="00BF2C09" w:rsidRDefault="00A66E4E">
      <w:pPr>
        <w:pStyle w:val="Corpsdetexte"/>
      </w:pPr>
      <w:r>
        <w:rPr>
          <w:b/>
          <w:bCs/>
        </w:rPr>
        <w:lastRenderedPageBreak/>
        <w:t>3. DURÉE DE LA LOCATION</w:t>
      </w:r>
    </w:p>
    <w:tbl>
      <w:tblPr>
        <w:tblStyle w:val="Table"/>
        <w:tblW w:w="5000" w:type="pct"/>
        <w:tblLook w:val="0020" w:firstRow="1" w:lastRow="0" w:firstColumn="0" w:lastColumn="0" w:noHBand="0" w:noVBand="0"/>
      </w:tblPr>
      <w:tblGrid>
        <w:gridCol w:w="1926"/>
        <w:gridCol w:w="7480"/>
      </w:tblGrid>
      <w:tr w:rsidR="00BF2C09" w14:paraId="3EAD990A"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908" w14:textId="77777777" w:rsidR="00BF2C09" w:rsidRDefault="00A66E4E">
            <w:pPr>
              <w:pStyle w:val="Compact"/>
            </w:pPr>
            <w:r>
              <w:rPr>
                <w:b/>
                <w:bCs/>
              </w:rPr>
              <w:t>Date d’arrivée</w:t>
            </w:r>
          </w:p>
        </w:tc>
        <w:tc>
          <w:tcPr>
            <w:tcW w:w="0" w:type="auto"/>
          </w:tcPr>
          <w:p w14:paraId="3EAD9909" w14:textId="77777777" w:rsidR="00BF2C09" w:rsidRDefault="00A66E4E">
            <w:pPr>
              <w:pStyle w:val="Compact"/>
            </w:pPr>
            <w:r>
              <w:t>à compléter — à partir de 16 h (arrivée souhaitée entre 16 h et 20 h)</w:t>
            </w:r>
          </w:p>
        </w:tc>
      </w:tr>
      <w:tr w:rsidR="00BF2C09" w14:paraId="3EAD990D" w14:textId="77777777">
        <w:tc>
          <w:tcPr>
            <w:tcW w:w="0" w:type="auto"/>
          </w:tcPr>
          <w:p w14:paraId="3EAD990B" w14:textId="77777777" w:rsidR="00BF2C09" w:rsidRDefault="00A66E4E">
            <w:pPr>
              <w:pStyle w:val="Compact"/>
            </w:pPr>
            <w:r>
              <w:rPr>
                <w:b/>
                <w:bCs/>
              </w:rPr>
              <w:t>Date de départ</w:t>
            </w:r>
          </w:p>
        </w:tc>
        <w:tc>
          <w:tcPr>
            <w:tcW w:w="0" w:type="auto"/>
          </w:tcPr>
          <w:p w14:paraId="3EAD990C" w14:textId="77777777" w:rsidR="00BF2C09" w:rsidRDefault="00A66E4E">
            <w:pPr>
              <w:pStyle w:val="Compact"/>
            </w:pPr>
            <w:r>
              <w:t>à compléter — avant 10 h</w:t>
            </w:r>
          </w:p>
        </w:tc>
      </w:tr>
      <w:tr w:rsidR="00BF2C09" w14:paraId="3EAD9910" w14:textId="77777777">
        <w:tc>
          <w:tcPr>
            <w:tcW w:w="0" w:type="auto"/>
          </w:tcPr>
          <w:p w14:paraId="3EAD990E" w14:textId="77777777" w:rsidR="00BF2C09" w:rsidRDefault="00A66E4E">
            <w:pPr>
              <w:pStyle w:val="Compact"/>
            </w:pPr>
            <w:r>
              <w:rPr>
                <w:b/>
                <w:bCs/>
              </w:rPr>
              <w:t>Durée totale</w:t>
            </w:r>
          </w:p>
        </w:tc>
        <w:tc>
          <w:tcPr>
            <w:tcW w:w="0" w:type="auto"/>
          </w:tcPr>
          <w:p w14:paraId="3EAD990F" w14:textId="77777777" w:rsidR="00BF2C09" w:rsidRDefault="00A66E4E">
            <w:pPr>
              <w:pStyle w:val="Compact"/>
            </w:pPr>
            <w:r>
              <w:t>à compléter nuits</w:t>
            </w:r>
          </w:p>
        </w:tc>
      </w:tr>
    </w:tbl>
    <w:p w14:paraId="3EAD9911" w14:textId="77777777" w:rsidR="00BF2C09" w:rsidRDefault="00A66E4E">
      <w:pPr>
        <w:pStyle w:val="Corpsdetexte"/>
      </w:pPr>
      <w:r>
        <w:t>La location est consentie à titre saisonnier pour la durée ci-dessus, sans possibilité de tacite reconduction. Le locataire ne pourra en aucun cas se prévaloir d’un droit au maintien dans les lieux à l’expiration de la période de location. La durée de location ne peut excéder 90 jours consécutifs pour un même locataire, et le logement ne peut constituer sa résidence principale.</w:t>
      </w:r>
    </w:p>
    <w:p w14:paraId="3EAD9912" w14:textId="77777777" w:rsidR="00BF2C09" w:rsidRDefault="00A66E4E">
      <w:pPr>
        <w:pStyle w:val="Corpsdetexte"/>
      </w:pPr>
      <w:r>
        <w:rPr>
          <w:b/>
          <w:bCs/>
        </w:rPr>
        <w:t>4. CONDITIONS FINANCIÈRES</w:t>
      </w:r>
    </w:p>
    <w:tbl>
      <w:tblPr>
        <w:tblStyle w:val="Table"/>
        <w:tblW w:w="5000" w:type="pct"/>
        <w:tblLook w:val="0020" w:firstRow="1" w:lastRow="0" w:firstColumn="0" w:lastColumn="0" w:noHBand="0" w:noVBand="0"/>
      </w:tblPr>
      <w:tblGrid>
        <w:gridCol w:w="2788"/>
        <w:gridCol w:w="6618"/>
      </w:tblGrid>
      <w:tr w:rsidR="00BF2C09" w14:paraId="3EAD9915"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913" w14:textId="77777777" w:rsidR="00BF2C09" w:rsidRDefault="00A66E4E">
            <w:pPr>
              <w:pStyle w:val="Compact"/>
            </w:pPr>
            <w:r>
              <w:rPr>
                <w:b/>
                <w:bCs/>
              </w:rPr>
              <w:t>Loyer pour la période</w:t>
            </w:r>
          </w:p>
        </w:tc>
        <w:tc>
          <w:tcPr>
            <w:tcW w:w="0" w:type="auto"/>
          </w:tcPr>
          <w:p w14:paraId="3EAD9914" w14:textId="77777777" w:rsidR="00BF2C09" w:rsidRDefault="00A66E4E">
            <w:pPr>
              <w:pStyle w:val="Compact"/>
            </w:pPr>
            <w:r>
              <w:t>à compléter €</w:t>
            </w:r>
          </w:p>
        </w:tc>
      </w:tr>
      <w:tr w:rsidR="00BF2C09" w14:paraId="3EAD9918" w14:textId="77777777">
        <w:tc>
          <w:tcPr>
            <w:tcW w:w="0" w:type="auto"/>
          </w:tcPr>
          <w:p w14:paraId="3EAD9916" w14:textId="77777777" w:rsidR="00BF2C09" w:rsidRDefault="00A66E4E">
            <w:pPr>
              <w:pStyle w:val="Compact"/>
            </w:pPr>
            <w:r>
              <w:rPr>
                <w:b/>
                <w:bCs/>
              </w:rPr>
              <w:t>Charges (eau, électricité, chauffage, internet)</w:t>
            </w:r>
          </w:p>
        </w:tc>
        <w:tc>
          <w:tcPr>
            <w:tcW w:w="0" w:type="auto"/>
          </w:tcPr>
          <w:p w14:paraId="3EAD9917" w14:textId="77777777" w:rsidR="00BF2C09" w:rsidRDefault="00A66E4E">
            <w:pPr>
              <w:pStyle w:val="Compact"/>
            </w:pPr>
            <w:r>
              <w:t>à compléter €</w:t>
            </w:r>
          </w:p>
        </w:tc>
      </w:tr>
      <w:tr w:rsidR="00BF2C09" w14:paraId="3EAD991B" w14:textId="77777777">
        <w:tc>
          <w:tcPr>
            <w:tcW w:w="0" w:type="auto"/>
          </w:tcPr>
          <w:p w14:paraId="3EAD9919" w14:textId="77777777" w:rsidR="00BF2C09" w:rsidRDefault="00A66E4E">
            <w:pPr>
              <w:pStyle w:val="Compact"/>
            </w:pPr>
            <w:r>
              <w:rPr>
                <w:b/>
                <w:bCs/>
              </w:rPr>
              <w:t>Forfait ménage de fin de séjour</w:t>
            </w:r>
          </w:p>
        </w:tc>
        <w:tc>
          <w:tcPr>
            <w:tcW w:w="0" w:type="auto"/>
          </w:tcPr>
          <w:p w14:paraId="3EAD991A" w14:textId="77777777" w:rsidR="00BF2C09" w:rsidRDefault="00A66E4E">
            <w:pPr>
              <w:pStyle w:val="Compact"/>
            </w:pPr>
            <w:r>
              <w:t>250 €</w:t>
            </w:r>
          </w:p>
        </w:tc>
      </w:tr>
      <w:tr w:rsidR="00BF2C09" w14:paraId="3EAD991E" w14:textId="77777777">
        <w:tc>
          <w:tcPr>
            <w:tcW w:w="0" w:type="auto"/>
          </w:tcPr>
          <w:p w14:paraId="3EAD991C" w14:textId="77777777" w:rsidR="00BF2C09" w:rsidRDefault="00A66E4E">
            <w:pPr>
              <w:pStyle w:val="Compact"/>
            </w:pPr>
            <w:r>
              <w:rPr>
                <w:b/>
                <w:bCs/>
              </w:rPr>
              <w:t>Taxe de séjour</w:t>
            </w:r>
          </w:p>
        </w:tc>
        <w:tc>
          <w:tcPr>
            <w:tcW w:w="0" w:type="auto"/>
          </w:tcPr>
          <w:p w14:paraId="3EAD991D" w14:textId="77777777" w:rsidR="00BF2C09" w:rsidRDefault="00A66E4E">
            <w:pPr>
              <w:pStyle w:val="Compact"/>
            </w:pPr>
            <w:r>
              <w:t>1 € par adulte et par nuitée, enfants mineurs exonérés. Réglée sur place, le jour de l’arrivée. Voir l’article 12 du règlement intérieur (annexe 2).</w:t>
            </w:r>
          </w:p>
        </w:tc>
      </w:tr>
      <w:tr w:rsidR="00BF2C09" w14:paraId="3EAD9921" w14:textId="77777777">
        <w:tc>
          <w:tcPr>
            <w:tcW w:w="0" w:type="auto"/>
          </w:tcPr>
          <w:p w14:paraId="3EAD991F" w14:textId="77777777" w:rsidR="00BF2C09" w:rsidRDefault="00A66E4E">
            <w:pPr>
              <w:pStyle w:val="Compact"/>
            </w:pPr>
            <w:r>
              <w:rPr>
                <w:b/>
                <w:bCs/>
              </w:rPr>
              <w:t>TOTAL DU SÉJOUR</w:t>
            </w:r>
          </w:p>
        </w:tc>
        <w:tc>
          <w:tcPr>
            <w:tcW w:w="0" w:type="auto"/>
          </w:tcPr>
          <w:p w14:paraId="3EAD9920" w14:textId="77777777" w:rsidR="00BF2C09" w:rsidRDefault="00A66E4E">
            <w:pPr>
              <w:pStyle w:val="Compact"/>
            </w:pPr>
            <w:r>
              <w:t>à compléter €</w:t>
            </w:r>
          </w:p>
        </w:tc>
      </w:tr>
    </w:tbl>
    <w:p w14:paraId="3EAD9922" w14:textId="77777777" w:rsidR="00BF2C09" w:rsidRDefault="00A66E4E">
      <w:pPr>
        <w:pStyle w:val="Corpsdetexte"/>
      </w:pPr>
      <w:r>
        <w:rPr>
          <w:b/>
          <w:bCs/>
        </w:rPr>
        <w:t>Échéancier de paiement</w:t>
      </w:r>
    </w:p>
    <w:tbl>
      <w:tblPr>
        <w:tblStyle w:val="Table"/>
        <w:tblW w:w="5000" w:type="pct"/>
        <w:tblLook w:val="0020" w:firstRow="1" w:lastRow="0" w:firstColumn="0" w:lastColumn="0" w:noHBand="0" w:noVBand="0"/>
      </w:tblPr>
      <w:tblGrid>
        <w:gridCol w:w="1840"/>
        <w:gridCol w:w="7566"/>
      </w:tblGrid>
      <w:tr w:rsidR="00BF2C09" w14:paraId="3EAD9925"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923" w14:textId="77777777" w:rsidR="00BF2C09" w:rsidRDefault="00A66E4E">
            <w:pPr>
              <w:pStyle w:val="Compact"/>
            </w:pPr>
            <w:r>
              <w:rPr>
                <w:b/>
                <w:bCs/>
              </w:rPr>
              <w:t>Acompte à la réservation</w:t>
            </w:r>
          </w:p>
        </w:tc>
        <w:tc>
          <w:tcPr>
            <w:tcW w:w="0" w:type="auto"/>
          </w:tcPr>
          <w:p w14:paraId="3EAD9924" w14:textId="77777777" w:rsidR="00BF2C09" w:rsidRDefault="00A66E4E">
            <w:pPr>
              <w:pStyle w:val="Compact"/>
            </w:pPr>
            <w:r>
              <w:t>30 % du montant total du séjour</w:t>
            </w:r>
          </w:p>
        </w:tc>
      </w:tr>
      <w:tr w:rsidR="00BF2C09" w14:paraId="3EAD9928" w14:textId="77777777">
        <w:tc>
          <w:tcPr>
            <w:tcW w:w="0" w:type="auto"/>
          </w:tcPr>
          <w:p w14:paraId="3EAD9926" w14:textId="77777777" w:rsidR="00BF2C09" w:rsidRDefault="00A66E4E">
            <w:pPr>
              <w:pStyle w:val="Compact"/>
            </w:pPr>
            <w:r>
              <w:rPr>
                <w:b/>
                <w:bCs/>
              </w:rPr>
              <w:t>Montant de l’acompte</w:t>
            </w:r>
          </w:p>
        </w:tc>
        <w:tc>
          <w:tcPr>
            <w:tcW w:w="0" w:type="auto"/>
          </w:tcPr>
          <w:p w14:paraId="3EAD9927" w14:textId="77777777" w:rsidR="00BF2C09" w:rsidRDefault="00A66E4E">
            <w:pPr>
              <w:pStyle w:val="Compact"/>
            </w:pPr>
            <w:r>
              <w:t>à compléter €</w:t>
            </w:r>
          </w:p>
        </w:tc>
      </w:tr>
      <w:tr w:rsidR="00BF2C09" w14:paraId="3EAD992B" w14:textId="77777777">
        <w:tc>
          <w:tcPr>
            <w:tcW w:w="0" w:type="auto"/>
          </w:tcPr>
          <w:p w14:paraId="3EAD9929" w14:textId="77777777" w:rsidR="00BF2C09" w:rsidRDefault="00A66E4E">
            <w:pPr>
              <w:pStyle w:val="Compact"/>
            </w:pPr>
            <w:r>
              <w:rPr>
                <w:b/>
                <w:bCs/>
              </w:rPr>
              <w:t>Date limite de versement</w:t>
            </w:r>
          </w:p>
        </w:tc>
        <w:tc>
          <w:tcPr>
            <w:tcW w:w="0" w:type="auto"/>
          </w:tcPr>
          <w:p w14:paraId="3EAD992A" w14:textId="77777777" w:rsidR="00BF2C09" w:rsidRDefault="00A66E4E">
            <w:pPr>
              <w:pStyle w:val="Compact"/>
            </w:pPr>
            <w:r>
              <w:t>À la réservation, en ligne</w:t>
            </w:r>
          </w:p>
        </w:tc>
      </w:tr>
      <w:tr w:rsidR="00BF2C09" w14:paraId="3EAD992E" w14:textId="77777777">
        <w:tc>
          <w:tcPr>
            <w:tcW w:w="0" w:type="auto"/>
          </w:tcPr>
          <w:p w14:paraId="3EAD992C" w14:textId="77777777" w:rsidR="00BF2C09" w:rsidRDefault="00A66E4E">
            <w:pPr>
              <w:pStyle w:val="Compact"/>
            </w:pPr>
            <w:r>
              <w:rPr>
                <w:b/>
                <w:bCs/>
              </w:rPr>
              <w:t>Solde (70 %)</w:t>
            </w:r>
          </w:p>
        </w:tc>
        <w:tc>
          <w:tcPr>
            <w:tcW w:w="0" w:type="auto"/>
          </w:tcPr>
          <w:p w14:paraId="3EAD992D" w14:textId="77777777" w:rsidR="00BF2C09" w:rsidRDefault="00A66E4E">
            <w:pPr>
              <w:pStyle w:val="Compact"/>
            </w:pPr>
            <w:r>
              <w:t>à compléter € — au plus tard 30 jours avant la date d’arrivée</w:t>
            </w:r>
          </w:p>
        </w:tc>
      </w:tr>
      <w:tr w:rsidR="00BF2C09" w14:paraId="3EAD9931" w14:textId="77777777">
        <w:tc>
          <w:tcPr>
            <w:tcW w:w="0" w:type="auto"/>
          </w:tcPr>
          <w:p w14:paraId="3EAD992F" w14:textId="77777777" w:rsidR="00BF2C09" w:rsidRDefault="00A66E4E">
            <w:pPr>
              <w:pStyle w:val="Compact"/>
            </w:pPr>
            <w:r>
              <w:rPr>
                <w:b/>
                <w:bCs/>
              </w:rPr>
              <w:t>Mode de règlement</w:t>
            </w:r>
          </w:p>
        </w:tc>
        <w:tc>
          <w:tcPr>
            <w:tcW w:w="0" w:type="auto"/>
          </w:tcPr>
          <w:p w14:paraId="3EAD9930" w14:textId="77777777" w:rsidR="00BF2C09" w:rsidRDefault="00A66E4E">
            <w:pPr>
              <w:pStyle w:val="Compact"/>
            </w:pPr>
            <w:r>
              <w:t>Acompte : par carte bancaire, en ligne, lors de la réservation sur le site. Solde : par carte bancaire, via un lien de paiement sécurisé envoyé par e-mail environ 30 jours avant l’arrivée, ou par virement bancaire.</w:t>
            </w:r>
          </w:p>
        </w:tc>
      </w:tr>
    </w:tbl>
    <w:p w14:paraId="3EAD9932" w14:textId="77777777" w:rsidR="00BF2C09" w:rsidRDefault="00A66E4E">
      <w:pPr>
        <w:pStyle w:val="Corpsdetexte"/>
      </w:pPr>
      <w:r>
        <w:t>La réservation ne devient effective qu’après réception de l’acompte de 30 % et du présent contrat signé par le locataire. Les sommes versées à la réservation constituent un acompte : en cas d’annulation par le locataire, elles sont traitées selon les modalités de l’article 7.</w:t>
      </w:r>
    </w:p>
    <w:p w14:paraId="3EAD9933" w14:textId="77777777" w:rsidR="00BF2C09" w:rsidRDefault="00A66E4E">
      <w:pPr>
        <w:pStyle w:val="Corpsdetexte"/>
      </w:pPr>
      <w:r>
        <w:t>Pour une réservation effectuée moins de 30 jours avant la date d’arrivée, la totalité du séjour est réglée à la réservation.</w:t>
      </w:r>
    </w:p>
    <w:p w14:paraId="3EAD9934" w14:textId="77777777" w:rsidR="00BF2C09" w:rsidRDefault="00A66E4E">
      <w:pPr>
        <w:pStyle w:val="Corpsdetexte"/>
      </w:pPr>
      <w:r>
        <w:t>Les paiements par carte sont opérés par la société Stripe, prestataire de paiement sécurisé. Le bailleur n’a accès à aucune donnée bancaire complète et n’en conserve aucune.</w:t>
      </w:r>
    </w:p>
    <w:p w14:paraId="3EAD9935" w14:textId="77777777" w:rsidR="00BF2C09" w:rsidRDefault="00A66E4E">
      <w:pPr>
        <w:pStyle w:val="Corpsdetexte"/>
      </w:pPr>
      <w:r>
        <w:rPr>
          <w:b/>
          <w:bCs/>
        </w:rPr>
        <w:t>5. DÉPÔT DE GARANTIE</w:t>
      </w:r>
    </w:p>
    <w:tbl>
      <w:tblPr>
        <w:tblStyle w:val="Table"/>
        <w:tblW w:w="5000" w:type="pct"/>
        <w:tblLook w:val="0020" w:firstRow="1" w:lastRow="0" w:firstColumn="0" w:lastColumn="0" w:noHBand="0" w:noVBand="0"/>
      </w:tblPr>
      <w:tblGrid>
        <w:gridCol w:w="1954"/>
        <w:gridCol w:w="7452"/>
      </w:tblGrid>
      <w:tr w:rsidR="00BF2C09" w14:paraId="3EAD9938"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936" w14:textId="77777777" w:rsidR="00BF2C09" w:rsidRDefault="00A66E4E">
            <w:pPr>
              <w:pStyle w:val="Compact"/>
            </w:pPr>
            <w:r>
              <w:rPr>
                <w:b/>
                <w:bCs/>
              </w:rPr>
              <w:lastRenderedPageBreak/>
              <w:t>Montant du dépôt de garantie</w:t>
            </w:r>
          </w:p>
        </w:tc>
        <w:tc>
          <w:tcPr>
            <w:tcW w:w="0" w:type="auto"/>
          </w:tcPr>
          <w:p w14:paraId="3EAD9937" w14:textId="77777777" w:rsidR="00BF2C09" w:rsidRDefault="00A66E4E">
            <w:pPr>
              <w:pStyle w:val="Compact"/>
            </w:pPr>
            <w:r>
              <w:t>1 000 €</w:t>
            </w:r>
          </w:p>
        </w:tc>
      </w:tr>
      <w:tr w:rsidR="00BF2C09" w14:paraId="3EAD993B" w14:textId="77777777">
        <w:tc>
          <w:tcPr>
            <w:tcW w:w="0" w:type="auto"/>
          </w:tcPr>
          <w:p w14:paraId="3EAD9939" w14:textId="77777777" w:rsidR="00BF2C09" w:rsidRDefault="00A66E4E">
            <w:pPr>
              <w:pStyle w:val="Compact"/>
            </w:pPr>
            <w:r>
              <w:rPr>
                <w:b/>
                <w:bCs/>
              </w:rPr>
              <w:t>Forme</w:t>
            </w:r>
          </w:p>
        </w:tc>
        <w:tc>
          <w:tcPr>
            <w:tcW w:w="0" w:type="auto"/>
          </w:tcPr>
          <w:p w14:paraId="3EAD993A" w14:textId="77777777" w:rsidR="00BF2C09" w:rsidRDefault="00A66E4E">
            <w:pPr>
              <w:pStyle w:val="Compact"/>
            </w:pPr>
            <w:r>
              <w:t>Au choix du locataire : chèque non encaissé, remis à l’arrivée, ou virement de 1 000 € reçu au plus tard 48 heures avant l’arrivée. Le chèque n’est pas encaissé ; le virement est restitué dans les conditions ci-dessous.</w:t>
            </w:r>
          </w:p>
        </w:tc>
      </w:tr>
      <w:tr w:rsidR="00BF2C09" w14:paraId="3EAD993E" w14:textId="77777777">
        <w:tc>
          <w:tcPr>
            <w:tcW w:w="0" w:type="auto"/>
          </w:tcPr>
          <w:p w14:paraId="3EAD993C" w14:textId="77777777" w:rsidR="00BF2C09" w:rsidRDefault="00A66E4E">
            <w:pPr>
              <w:pStyle w:val="Compact"/>
            </w:pPr>
            <w:r>
              <w:rPr>
                <w:b/>
                <w:bCs/>
              </w:rPr>
              <w:t>À prévoir à l’arrivée</w:t>
            </w:r>
          </w:p>
        </w:tc>
        <w:tc>
          <w:tcPr>
            <w:tcW w:w="0" w:type="auto"/>
          </w:tcPr>
          <w:p w14:paraId="3EAD993D" w14:textId="77777777" w:rsidR="00BF2C09" w:rsidRDefault="00A66E4E">
            <w:pPr>
              <w:pStyle w:val="Compact"/>
            </w:pPr>
            <w:r>
              <w:t>Taxe de séjour et, le cas échéant, borne de recharge électrique (20 € par jour). Le séjour et le forfait ménage sont réglés à l’avance, selon l’échéancier de l’article 4.</w:t>
            </w:r>
          </w:p>
        </w:tc>
      </w:tr>
      <w:tr w:rsidR="00BF2C09" w14:paraId="3EAD9941" w14:textId="77777777">
        <w:tc>
          <w:tcPr>
            <w:tcW w:w="0" w:type="auto"/>
          </w:tcPr>
          <w:p w14:paraId="3EAD993F" w14:textId="77777777" w:rsidR="00BF2C09" w:rsidRDefault="00A66E4E">
            <w:pPr>
              <w:pStyle w:val="Compact"/>
            </w:pPr>
            <w:r>
              <w:rPr>
                <w:b/>
                <w:bCs/>
              </w:rPr>
              <w:t>Restitution</w:t>
            </w:r>
          </w:p>
        </w:tc>
        <w:tc>
          <w:tcPr>
            <w:tcW w:w="0" w:type="auto"/>
          </w:tcPr>
          <w:p w14:paraId="3EAD9940" w14:textId="77777777" w:rsidR="00BF2C09" w:rsidRDefault="00A66E4E">
            <w:pPr>
              <w:pStyle w:val="Compact"/>
            </w:pPr>
            <w:r>
              <w:t>Dans un délai de 15 jours suivant le départ du locataire</w:t>
            </w:r>
          </w:p>
        </w:tc>
      </w:tr>
    </w:tbl>
    <w:p w14:paraId="3EAD9942" w14:textId="77777777" w:rsidR="00BF2C09" w:rsidRDefault="00A66E4E">
      <w:pPr>
        <w:pStyle w:val="Corpsdetexte"/>
      </w:pPr>
      <w:r>
        <w:t>Le dépôt de garantie est restitué au locataire après déduction éventuelle du coût des dégradations constatées, des objets manquants ou cassés, et des frais de remise en état. Le bailleur justifiera toute retenue par des factures ou devis. En l’absence de dégradation, le chèque est restitué non encaissé.</w:t>
      </w:r>
    </w:p>
    <w:p w14:paraId="3EAD9943" w14:textId="77777777" w:rsidR="00BF2C09" w:rsidRDefault="00A66E4E">
      <w:pPr>
        <w:pStyle w:val="Corpsdetexte"/>
      </w:pPr>
      <w:r>
        <w:rPr>
          <w:b/>
          <w:bCs/>
        </w:rPr>
        <w:t>6. ÉTAT DES LIEUX ET INVENTAIRE</w:t>
      </w:r>
    </w:p>
    <w:p w14:paraId="3EAD9944" w14:textId="42AD5679" w:rsidR="00BF2C09" w:rsidRDefault="00A66E4E">
      <w:pPr>
        <w:pStyle w:val="Corpsdetexte"/>
      </w:pPr>
      <w:r>
        <w:t xml:space="preserve">L’état des lieux est établi au moyen d’un reportage photographique réalisé par le bailleur avant l’arrivée et après chaque départ. Ces éléments constituent l’état de référence du logement.</w:t>
      </w:r>
      <w:proofErr w:type="spellStart"/>
      <w:r>
        <w:t/>
      </w:r>
      <w:proofErr w:type="spellEnd"/>
      <w:r>
        <w:t xml:space="preserve"/>
      </w:r>
      <w:r w:rsidR="00B34DC0">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3EAD9945" w14:textId="77777777" w:rsidR="00BF2C09" w:rsidRDefault="00A66E4E">
      <w:pPr>
        <w:pStyle w:val="Corpsdetexte"/>
      </w:pPr>
      <w:r>
        <w:t>Le locataire dispose de 24 heures à compter de son arrivée pour signaler par écrit toute anomalie, dégradation ou manquant. Passé ce délai, et à défaut de signalement, le logement et son mobilier sont réputés conformes au reportage d’entrée. Le locataire peut demander à tout moment communication de ce reportage.</w:t>
      </w:r>
    </w:p>
    <w:p w14:paraId="3EAD9946" w14:textId="77777777" w:rsidR="00BF2C09" w:rsidRDefault="00A66E4E">
      <w:pPr>
        <w:pStyle w:val="Corpsdetexte"/>
      </w:pPr>
      <w:r>
        <w:rPr>
          <w:b/>
          <w:bCs/>
        </w:rPr>
        <w:t>7. ANNULATION</w:t>
      </w:r>
    </w:p>
    <w:p w14:paraId="3EAD9947" w14:textId="77777777" w:rsidR="00BF2C09" w:rsidRDefault="00A66E4E">
      <w:pPr>
        <w:pStyle w:val="Corpsdetexte"/>
      </w:pPr>
      <w:r>
        <w:rPr>
          <w:b/>
          <w:bCs/>
        </w:rPr>
        <w:t>Annulation par le locataire</w:t>
      </w:r>
    </w:p>
    <w:p w14:paraId="3EAD9948" w14:textId="77777777" w:rsidR="00BF2C09" w:rsidRDefault="00A66E4E">
      <w:pPr>
        <w:pStyle w:val="Corpsdetexte"/>
      </w:pPr>
      <w:r>
        <w:t>Plus de 60 jours avant la date d’arrivée : l’acompte est remboursé au locataire, déduction faite de 5 % de son montant conservés par le bailleur au titre des frais de dossier.</w:t>
      </w:r>
    </w:p>
    <w:p w14:paraId="3EAD9949" w14:textId="77777777" w:rsidR="00BF2C09" w:rsidRDefault="00A66E4E">
      <w:pPr>
        <w:pStyle w:val="Corpsdetexte"/>
      </w:pPr>
      <w:r>
        <w:t>Entre 60 et 30 jours avant la date d’arrivée : l’acompte reste intégralement acquis au bailleur.</w:t>
      </w:r>
    </w:p>
    <w:p w14:paraId="3EAD994A" w14:textId="77777777" w:rsidR="00BF2C09" w:rsidRDefault="00A66E4E">
      <w:pPr>
        <w:pStyle w:val="Corpsdetexte"/>
      </w:pPr>
      <w:r>
        <w:t>Moins de 30 jours avant la date d’arrivée : la totalité du montant du séjour reste due.</w:t>
      </w:r>
    </w:p>
    <w:p w14:paraId="3EAD994B" w14:textId="77777777" w:rsidR="00BF2C09" w:rsidRDefault="00A66E4E">
      <w:pPr>
        <w:pStyle w:val="Corpsdetexte"/>
      </w:pPr>
      <w:r>
        <w:t>En cas de non-présentation du locataire : la totalité du montant du séjour reste due.</w:t>
      </w:r>
    </w:p>
    <w:p w14:paraId="3EAD994C" w14:textId="77777777" w:rsidR="00BF2C09" w:rsidRDefault="00A66E4E">
      <w:pPr>
        <w:pStyle w:val="Corpsdetexte"/>
      </w:pPr>
      <w:r>
        <w:t>Toute annulation doit être notifiée au bailleur par écrit (courrier recommandé ou e-mail avec accusé de réception). La date de réception de cette notification fait foi pour le calcul des délais ci-dessus.</w:t>
      </w:r>
    </w:p>
    <w:p w14:paraId="3EAD994D" w14:textId="77777777" w:rsidR="00BF2C09" w:rsidRDefault="00A66E4E">
      <w:pPr>
        <w:pStyle w:val="Corpsdetexte"/>
      </w:pPr>
      <w:r>
        <w:rPr>
          <w:b/>
          <w:bCs/>
        </w:rPr>
        <w:t>Annulation par le bailleur</w:t>
      </w:r>
    </w:p>
    <w:p w14:paraId="3EAD994E" w14:textId="77777777" w:rsidR="00BF2C09" w:rsidRDefault="00A66E4E">
      <w:pPr>
        <w:pStyle w:val="Corpsdetexte"/>
      </w:pPr>
      <w:r>
        <w:t xml:space="preserve">Le bailleur ne peut annuler une réservation confirmée que pour un motif sérieux et légitime, tel que : la nécessité de travaux urgents ou de réparations rendant le logement impropre à l’accueil, un sinistre affectant le logement, une décision administrative, ou un événement grave affectant le bailleur ou sa famille proche. Il en informe le locataire sans délai et lui fournit tout justificatif </w:t>
      </w:r>
      <w:r>
        <w:lastRenderedPageBreak/>
        <w:t>utile. En pareil cas, hors force majeure et hors résiliation pour manquement du locataire, le bailleur rembourse au locataire l’intégralité des sommes versées dans un délai de 14 jours.</w:t>
      </w:r>
    </w:p>
    <w:p w14:paraId="3EAD994F" w14:textId="77777777" w:rsidR="00BF2C09" w:rsidRDefault="00A66E4E">
      <w:pPr>
        <w:pStyle w:val="Corpsdetexte"/>
      </w:pPr>
      <w:r>
        <w:rPr>
          <w:b/>
          <w:bCs/>
        </w:rPr>
        <w:t>8. OBLIGATIONS DU LOCATAIRE</w:t>
      </w:r>
    </w:p>
    <w:p w14:paraId="3EAD9950" w14:textId="77777777" w:rsidR="00BF2C09" w:rsidRDefault="00A66E4E">
      <w:pPr>
        <w:pStyle w:val="Corpsdetexte"/>
      </w:pPr>
      <w:r>
        <w:t>Occuper les lieux paisiblement et en faire un usage exclusivement d’habitation, à l’exclusion de toute activité professionnelle ou commerciale.</w:t>
      </w:r>
    </w:p>
    <w:p w14:paraId="3EAD9951" w14:textId="77777777" w:rsidR="00BF2C09" w:rsidRDefault="00A66E4E">
      <w:pPr>
        <w:pStyle w:val="Corpsdetexte"/>
      </w:pPr>
      <w:r>
        <w:t>Respecter la capacité maximale de 12 personnes. Le loyer indiqué à l’article 4 couvre 8 personnes ; au-delà, et dans cette limite de 12, un supplément de 20 € par personne et par nuit s’applique. Est comptée comme occupant toute personne âgée d’un an et plus, adulte ou enfant. Les enfants de moins d’un an sont accueillis sans être décomptés ni facturés, mais doivent être signalés au bailleur avant l’arrivée, le nombre réel d’occupants devant correspondre à celui porté à la connaissance de l’assureur. La déc</w:t>
      </w:r>
      <w:r>
        <w:t>laration du nombre d’occupants est une condition essentielle du contrat : une déclaration inexacte est susceptible de priver d’effet la garantie d’assurance en cas de sinistre et autorise le bailleur à résilier le séjour dans les conditions de l’article 8 bis.</w:t>
      </w:r>
    </w:p>
    <w:p w14:paraId="3EAD9952" w14:textId="77777777" w:rsidR="00BF2C09" w:rsidRDefault="00A66E4E">
      <w:pPr>
        <w:pStyle w:val="Corpsdetexte"/>
      </w:pPr>
      <w:r>
        <w:t>Entretenir le logement et le restituer en bon état de propreté.</w:t>
      </w:r>
    </w:p>
    <w:p w14:paraId="3EAD9953" w14:textId="77777777" w:rsidR="00BF2C09" w:rsidRDefault="00A66E4E">
      <w:pPr>
        <w:pStyle w:val="Corpsdetexte"/>
      </w:pPr>
      <w:r>
        <w:t>Respecter le règlement intérieur annexé au contrat (Annexe 2), notamment les horaires de tranquillité du voisinage.</w:t>
      </w:r>
    </w:p>
    <w:p w14:paraId="3EAD9954" w14:textId="77777777" w:rsidR="00BF2C09" w:rsidRDefault="00A66E4E">
      <w:pPr>
        <w:pStyle w:val="Corpsdetexte"/>
      </w:pPr>
      <w:r>
        <w:t>S’abstenir de sous-louer le logement, même à titre gratuit.</w:t>
      </w:r>
    </w:p>
    <w:p w14:paraId="3EAD9955" w14:textId="77777777" w:rsidR="00BF2C09" w:rsidRDefault="00A66E4E">
      <w:pPr>
        <w:pStyle w:val="Corpsdetexte"/>
      </w:pPr>
      <w:r>
        <w:t>Ne pas fumer à l’intérieur du logement.</w:t>
      </w:r>
    </w:p>
    <w:p w14:paraId="3EAD9956" w14:textId="77777777" w:rsidR="00BF2C09" w:rsidRDefault="00A66E4E">
      <w:pPr>
        <w:pStyle w:val="Corpsdetexte"/>
      </w:pPr>
      <w:r>
        <w:t>Informer le bailleur de tout sinistre ou dysfonctionnement dans les meilleurs délais.</w:t>
      </w:r>
    </w:p>
    <w:p w14:paraId="3EAD9957" w14:textId="77777777" w:rsidR="00BF2C09" w:rsidRDefault="00A66E4E">
      <w:pPr>
        <w:pStyle w:val="Corpsdetexte"/>
      </w:pPr>
      <w:r>
        <w:t>Permettre l’accès au logement pour toute réparation urgente et nécessaire.</w:t>
      </w:r>
    </w:p>
    <w:p w14:paraId="3EAD9958" w14:textId="77777777" w:rsidR="00BF2C09" w:rsidRDefault="00A66E4E">
      <w:pPr>
        <w:pStyle w:val="Corpsdetexte"/>
      </w:pPr>
      <w:r>
        <w:rPr>
          <w:b/>
          <w:bCs/>
        </w:rPr>
        <w:t>8 bis. RÉSILIATION POUR MANQUEMENT DU LOCATAIRE</w:t>
      </w:r>
    </w:p>
    <w:p w14:paraId="3EAD9959" w14:textId="77777777" w:rsidR="00BF2C09" w:rsidRDefault="00A66E4E">
      <w:pPr>
        <w:pStyle w:val="Corpsdetexte"/>
      </w:pPr>
      <w:r>
        <w:t>Le bailleur peut résilier le contrat, avant l’arrivée ou en cours de séjour, dans les cas suivants, constatés objectivement :</w:t>
      </w:r>
    </w:p>
    <w:p w14:paraId="3EAD995A" w14:textId="77777777" w:rsidR="00BF2C09" w:rsidRDefault="00A66E4E">
      <w:pPr>
        <w:pStyle w:val="Corpsdetexte"/>
      </w:pPr>
      <w:r>
        <w:t>Non-paiement du solde à l’échéance, après relance restée sans réponse pendant 7 jours.</w:t>
      </w:r>
    </w:p>
    <w:p w14:paraId="3EAD995B" w14:textId="77777777" w:rsidR="00BF2C09" w:rsidRDefault="00A66E4E">
      <w:pPr>
        <w:pStyle w:val="Corpsdetexte"/>
      </w:pPr>
      <w:r>
        <w:t>Refus de signer le contrat ou le règlement intérieur, ou de constituer le dépôt de garantie.</w:t>
      </w:r>
    </w:p>
    <w:p w14:paraId="3EAD995C" w14:textId="77777777" w:rsidR="00BF2C09" w:rsidRDefault="00A66E4E">
      <w:pPr>
        <w:pStyle w:val="Corpsdetexte"/>
      </w:pPr>
      <w:r>
        <w:t>Déclaration inexacte portant sur l’identité du locataire, le nombre d’occupants ou l’objet du séjour.</w:t>
      </w:r>
    </w:p>
    <w:p w14:paraId="3EAD995D" w14:textId="77777777" w:rsidR="00BF2C09" w:rsidRDefault="00A66E4E">
      <w:pPr>
        <w:pStyle w:val="Corpsdetexte"/>
      </w:pPr>
      <w:r>
        <w:t>Annonce ou publication par le locataire d’un événement — fête, réception, tournage, séminaire, enterrement de vie de jeune fille ou de garçon — incompatible avec la destination du logement.</w:t>
      </w:r>
    </w:p>
    <w:p w14:paraId="3EAD995E" w14:textId="77777777" w:rsidR="00BF2C09" w:rsidRDefault="00A66E4E">
      <w:pPr>
        <w:pStyle w:val="Corpsdetexte"/>
      </w:pPr>
      <w:r>
        <w:t>Présence d’un nombre d’occupants supérieur à celui déclaré, non régularisée dans l’heure suivant la demande du bailleur.</w:t>
      </w:r>
    </w:p>
    <w:p w14:paraId="3EAD995F" w14:textId="77777777" w:rsidR="00BF2C09" w:rsidRDefault="00A66E4E">
      <w:pPr>
        <w:pStyle w:val="Corpsdetexte"/>
      </w:pPr>
      <w:r>
        <w:t>Organisation d’une fête ou d’un événement, en violation du règlement intérieur.</w:t>
      </w:r>
    </w:p>
    <w:p w14:paraId="3EAD9960" w14:textId="77777777" w:rsidR="00BF2C09" w:rsidRDefault="00A66E4E">
      <w:pPr>
        <w:pStyle w:val="Corpsdetexte"/>
      </w:pPr>
      <w:r>
        <w:t>Troubles de voisinage établis — plainte écrite d’un voisin, intervention des forces de l’ordre ou constat du bailleur — persistant après une première mise en garde.</w:t>
      </w:r>
    </w:p>
    <w:p w14:paraId="3EAD9961" w14:textId="77777777" w:rsidR="00BF2C09" w:rsidRDefault="00A66E4E">
      <w:pPr>
        <w:pStyle w:val="Corpsdetexte"/>
      </w:pPr>
      <w:r>
        <w:lastRenderedPageBreak/>
        <w:t>Non-respect des horaires de tranquillité (22 h – 8 h) après une première mise en garde.</w:t>
      </w:r>
    </w:p>
    <w:p w14:paraId="3EAD9962" w14:textId="77777777" w:rsidR="00BF2C09" w:rsidRDefault="00A66E4E">
      <w:pPr>
        <w:pStyle w:val="Corpsdetexte"/>
      </w:pPr>
      <w:r>
        <w:t>Dégradation volontaire du logement, de son mobilier ou de ses abords.</w:t>
      </w:r>
    </w:p>
    <w:p w14:paraId="3EAD9963" w14:textId="77777777" w:rsidR="00BF2C09" w:rsidRDefault="00A66E4E">
      <w:pPr>
        <w:pStyle w:val="Corpsdetexte"/>
      </w:pPr>
      <w:r>
        <w:t>Sous-location ou mise à disposition du logement à des tiers, à titre gratuit ou onéreux.</w:t>
      </w:r>
    </w:p>
    <w:p w14:paraId="3EAD9964" w14:textId="77777777" w:rsidR="00BF2C09" w:rsidRDefault="00A66E4E">
      <w:pPr>
        <w:pStyle w:val="Corpsdetexte"/>
      </w:pPr>
      <w:r>
        <w:t>Comportement mettant en danger la sécurité des personnes ou du bâtiment.</w:t>
      </w:r>
    </w:p>
    <w:p w14:paraId="3EAD9965" w14:textId="77777777" w:rsidR="00BF2C09" w:rsidRDefault="00A66E4E">
      <w:pPr>
        <w:pStyle w:val="Corpsdetexte"/>
      </w:pPr>
      <w:r>
        <w:t>Sauf danger immédiat, le bailleur adresse au locataire une mise en garde écrite précisant le manquement constaté et le délai imparti pour y remédier. À défaut de régularisation, il notifie la résiliation.</w:t>
      </w:r>
    </w:p>
    <w:p w14:paraId="3EAD9966" w14:textId="77777777" w:rsidR="00BF2C09" w:rsidRDefault="00A66E4E">
      <w:pPr>
        <w:pStyle w:val="Corpsdetexte"/>
      </w:pPr>
      <w:r>
        <w:t>La résiliation avant l’arrivée entraîne l’application du barème d’annulation du fait du locataire prévu à l’article 7, sans indemnité due au locataire. La résiliation en cours de séjour entraîne le départ du locataire et de ses occupants, sans remboursement des nuits restantes ; le dépôt de garantie demeure affecté à la réparation des préjudices constatés.</w:t>
      </w:r>
    </w:p>
    <w:p w14:paraId="3EAD9967" w14:textId="77777777" w:rsidR="00BF2C09" w:rsidRDefault="00A66E4E">
      <w:pPr>
        <w:pStyle w:val="Corpsdetexte"/>
      </w:pPr>
      <w:r>
        <w:t>Lorsqu’un dépassement du nombre d’occupants est régularisé, le bailleur facture le supplément dû pour l’intégralité du séjour, majoré de 50 % au titre des frais de régularisation.</w:t>
      </w:r>
    </w:p>
    <w:p w14:paraId="3EAD9968" w14:textId="77777777" w:rsidR="00BF2C09" w:rsidRDefault="00A66E4E">
      <w:pPr>
        <w:pStyle w:val="Corpsdetexte"/>
      </w:pPr>
      <w:r>
        <w:rPr>
          <w:b/>
          <w:bCs/>
        </w:rPr>
        <w:t>9. OBLIGATIONS DU BAILLEUR</w:t>
      </w:r>
    </w:p>
    <w:p w14:paraId="3EAD9969" w14:textId="77777777" w:rsidR="00BF2C09" w:rsidRDefault="00A66E4E">
      <w:pPr>
        <w:pStyle w:val="Corpsdetexte"/>
      </w:pPr>
      <w:r>
        <w:t>Délivrer le logement en bon état d’usage et de propreté, conforme au descriptif remis au locataire.</w:t>
      </w:r>
    </w:p>
    <w:p w14:paraId="3EAD996A" w14:textId="77777777" w:rsidR="00BF2C09" w:rsidRDefault="00A66E4E">
      <w:pPr>
        <w:pStyle w:val="Corpsdetexte"/>
      </w:pPr>
      <w:r>
        <w:t>Assurer au locataire la jouissance paisible du logement pendant toute la durée du séjour.</w:t>
      </w:r>
    </w:p>
    <w:p w14:paraId="3EAD996B" w14:textId="77777777" w:rsidR="00BF2C09" w:rsidRDefault="00A66E4E">
      <w:pPr>
        <w:pStyle w:val="Corpsdetexte"/>
      </w:pPr>
      <w:r>
        <w:t>Entretenir les équipements et effectuer les réparations nécessaires, autres que locatives.</w:t>
      </w:r>
    </w:p>
    <w:p w14:paraId="3EAD996C" w14:textId="77777777" w:rsidR="00BF2C09" w:rsidRDefault="00A66E4E">
      <w:pPr>
        <w:pStyle w:val="Corpsdetexte"/>
      </w:pPr>
      <w:r>
        <w:t>Remettre au locataire les clés et les informations pratiques nécessaires à son séjour.</w:t>
      </w:r>
    </w:p>
    <w:p w14:paraId="3EAD996D" w14:textId="77777777" w:rsidR="00BF2C09" w:rsidRDefault="00A66E4E">
      <w:pPr>
        <w:pStyle w:val="Corpsdetexte"/>
      </w:pPr>
      <w:r>
        <w:rPr>
          <w:b/>
          <w:bCs/>
        </w:rPr>
        <w:t>10. ASSURANCE</w:t>
      </w:r>
    </w:p>
    <w:p w14:paraId="3EAD996E" w14:textId="77777777" w:rsidR="00BF2C09" w:rsidRDefault="00A66E4E">
      <w:pPr>
        <w:pStyle w:val="Corpsdetexte"/>
      </w:pPr>
      <w:r>
        <w:t>Le locataire déclare être titulaire d’une assurance responsabilité civile couvrant les risques locatifs (incendie, dégâts des eaux, explosion) pendant la durée du séjour. Il s’engage à en fournir une attestation sur simple demande du bailleur.</w:t>
      </w:r>
    </w:p>
    <w:p w14:paraId="3EAD996F" w14:textId="77777777" w:rsidR="00BF2C09" w:rsidRDefault="00A66E4E">
      <w:pPr>
        <w:pStyle w:val="Corpsdetexte"/>
      </w:pPr>
      <w:r>
        <w:rPr>
          <w:b/>
          <w:bCs/>
        </w:rPr>
        <w:t>11. ANIMAUX DE COMPAGNIE</w:t>
      </w:r>
    </w:p>
    <w:p w14:paraId="3EAD9970" w14:textId="77777777" w:rsidR="00BF2C09" w:rsidRDefault="00A66E4E">
      <w:pPr>
        <w:pStyle w:val="Corpsdetexte"/>
      </w:pPr>
      <w:r>
        <w:t>Un seul chien est admis par séjour, sous réserve des conditions cumulatives suivantes :</w:t>
      </w:r>
    </w:p>
    <w:p w14:paraId="3EAD9971" w14:textId="77777777" w:rsidR="00BF2C09" w:rsidRDefault="00A66E4E">
      <w:pPr>
        <w:pStyle w:val="Corpsdetexte"/>
      </w:pPr>
      <w:r>
        <w:t>Sa présence est signalée au bailleur au moment de la réservation.</w:t>
      </w:r>
    </w:p>
    <w:p w14:paraId="3EAD9972" w14:textId="77777777" w:rsidR="00BF2C09" w:rsidRDefault="00A66E4E">
      <w:pPr>
        <w:pStyle w:val="Corpsdetexte"/>
      </w:pPr>
      <w:r>
        <w:t>Le locataire respecte les dispositions du règlement intérieur relatives aux animaux (Annexe 2).</w:t>
      </w:r>
    </w:p>
    <w:p w14:paraId="3EAD9973" w14:textId="77777777" w:rsidR="00BF2C09" w:rsidRDefault="00A66E4E">
      <w:pPr>
        <w:pStyle w:val="Corpsdetexte"/>
      </w:pPr>
      <w:r>
        <w:t>L’animal ne doit pas être laissé seul dans le logement, ni accéder aux lits et canapés. Le locataire est responsable de tout dégât ou nuisance causé par son animal, et s’engage à ramasser ses déjections dans le jardin et aux abords de la propriété. Le non-respect de ces conditions autorise le bailleur à retenir tout ou partie du dépôt de garantie.</w:t>
      </w:r>
    </w:p>
    <w:p w14:paraId="3EAD9974" w14:textId="77777777" w:rsidR="00BF2C09" w:rsidRDefault="00A66E4E">
      <w:pPr>
        <w:pStyle w:val="Corpsdetexte"/>
      </w:pPr>
      <w:r>
        <w:rPr>
          <w:b/>
          <w:bCs/>
        </w:rPr>
        <w:t>12. LITIGES</w:t>
      </w:r>
    </w:p>
    <w:p w14:paraId="3EAD9975" w14:textId="77777777" w:rsidR="00BF2C09" w:rsidRDefault="00A66E4E">
      <w:pPr>
        <w:pStyle w:val="Corpsdetexte"/>
      </w:pPr>
      <w:r>
        <w:t xml:space="preserve">Le présent contrat est soumis au droit français. En cas de litige, les parties s’efforceront de trouver une solution amiable. À défaut d’accord, le locataire consommateur peut recourir </w:t>
      </w:r>
      <w:r>
        <w:lastRenderedPageBreak/>
        <w:t>gratuitement à un médiateur de la consommation. Les tribunaux du lieu de situation de l’immeuble seront seuls compétents.</w:t>
      </w:r>
    </w:p>
    <w:p w14:paraId="3EAD9976" w14:textId="77777777" w:rsidR="00BF2C09" w:rsidRDefault="00A66E4E">
      <w:pPr>
        <w:pStyle w:val="Corpsdetexte"/>
      </w:pPr>
      <w:r>
        <w:rPr>
          <w:b/>
          <w:bCs/>
        </w:rPr>
        <w:t>13. ANNEXES</w:t>
      </w:r>
    </w:p>
    <w:p w14:paraId="3EAD9977" w14:textId="77777777" w:rsidR="00BF2C09" w:rsidRDefault="00A66E4E">
      <w:pPr>
        <w:pStyle w:val="Corpsdetexte"/>
      </w:pPr>
      <w:r>
        <w:t>Annexe 1 — Descriptif détaillé du logement et inventaire du mobilier</w:t>
      </w:r>
    </w:p>
    <w:p w14:paraId="3EAD9978" w14:textId="77777777" w:rsidR="00BF2C09" w:rsidRDefault="00A66E4E">
      <w:pPr>
        <w:pStyle w:val="Corpsdetexte"/>
      </w:pPr>
      <w:r>
        <w:t>Annexe 2 — Règlement intérieur</w:t>
      </w:r>
    </w:p>
    <w:p w14:paraId="3EAD9979" w14:textId="77777777" w:rsidR="00BF2C09" w:rsidRDefault="00A66E4E">
      <w:pPr>
        <w:pStyle w:val="Corpsdetexte"/>
      </w:pPr>
      <w:r>
        <w:t>Annexe 3 — État des lieux d’entrée et de sortie</w:t>
      </w:r>
    </w:p>
    <w:p w14:paraId="3EAD997A" w14:textId="2F41DA7E" w:rsidR="00BF2C09" w:rsidRDefault="00A66E4E">
      <w:pPr>
        <w:pStyle w:val="Corpsdetexte"/>
      </w:pPr>
      <w:proofErr w:type="spellStart"/>
      <w:r>
        <w:t xml:space="preserve">Annexe 4 — Livret d’accueil (lien communiqué avec le contrat signé)</w:t>
      </w:r>
      <w:proofErr w:type="spellEnd"/>
      <w:r>
        <w:t xml:space="preserve"/>
      </w:r>
      <w:r w:rsidR="00A6057D" w:rsidRPr="00A6057D">
        <w:t/>
      </w:r>
    </w:p>
    <w:p w14:paraId="3EAD997B" w14:textId="77777777" w:rsidR="00BF2C09" w:rsidRDefault="00A66E4E">
      <w:pPr>
        <w:pStyle w:val="Corpsdetexte"/>
      </w:pPr>
      <w:r>
        <w:rPr>
          <w:b/>
          <w:bCs/>
        </w:rPr>
        <w:t>SIGNATURES</w:t>
      </w:r>
    </w:p>
    <w:p w14:paraId="3EAD997C" w14:textId="77777777" w:rsidR="00BF2C09" w:rsidRDefault="00A66E4E">
      <w:pPr>
        <w:pStyle w:val="Corpsdetexte"/>
      </w:pPr>
      <w:r>
        <w:t>Fait à ………………………………, le ………………………………, en deux exemplaires originaux.</w:t>
      </w:r>
    </w:p>
    <w:tbl>
      <w:tblPr>
        <w:tblStyle w:val="Table"/>
        <w:tblW w:w="5000" w:type="pct"/>
        <w:tblLook w:val="0020" w:firstRow="1" w:lastRow="0" w:firstColumn="0" w:lastColumn="0" w:noHBand="0" w:noVBand="0"/>
      </w:tblPr>
      <w:tblGrid>
        <w:gridCol w:w="5073"/>
        <w:gridCol w:w="4333"/>
      </w:tblGrid>
      <w:tr w:rsidR="00BF2C09" w14:paraId="3EAD997F" w14:textId="77777777" w:rsidTr="00BF2C09">
        <w:trPr>
          <w:cnfStyle w:val="100000000000" w:firstRow="1" w:lastRow="0" w:firstColumn="0" w:lastColumn="0" w:oddVBand="0" w:evenVBand="0" w:oddHBand="0" w:evenHBand="0" w:firstRowFirstColumn="0" w:firstRowLastColumn="0" w:lastRowFirstColumn="0" w:lastRowLastColumn="0"/>
          <w:tblHeader/>
        </w:trPr>
        <w:tc>
          <w:tcPr>
            <w:tcW w:w="0" w:type="auto"/>
          </w:tcPr>
          <w:p w14:paraId="3EAD997D" w14:textId="77777777" w:rsidR="00BF2C09" w:rsidRDefault="00A66E4E">
            <w:pPr>
              <w:pStyle w:val="Compact"/>
            </w:pPr>
            <w:r>
              <w:rPr>
                <w:b/>
                <w:bCs/>
              </w:rPr>
              <w:t>LE BAILLEUR</w:t>
            </w:r>
            <w:r>
              <w:t xml:space="preserve"> </w:t>
            </w:r>
            <w:r>
              <w:rPr>
                <w:b/>
                <w:bCs/>
              </w:rPr>
              <w:t>SCI PAYOUT — Servane Léaignel, gérante</w:t>
            </w:r>
          </w:p>
        </w:tc>
        <w:tc>
          <w:tcPr>
            <w:tcW w:w="0" w:type="auto"/>
          </w:tcPr>
          <w:p w14:paraId="3EAD997E" w14:textId="77777777" w:rsidR="00BF2C09" w:rsidRDefault="00A66E4E">
            <w:pPr>
              <w:pStyle w:val="Compact"/>
            </w:pPr>
            <w:r>
              <w:rPr>
                <w:b/>
                <w:bCs/>
              </w:rPr>
              <w:t>LE LOCATAIRE</w:t>
            </w:r>
          </w:p>
        </w:tc>
      </w:tr>
      <w:tr w:rsidR="00BF2C09" w14:paraId="3EAD9982" w14:textId="77777777">
        <w:tc>
          <w:tcPr>
            <w:tcW w:w="0" w:type="auto"/>
          </w:tcPr>
          <w:p w14:paraId="3EAD9980" w14:textId="77777777" w:rsidR="00BF2C09" w:rsidRDefault="00A66E4E">
            <w:pPr>
              <w:pStyle w:val="Compact"/>
            </w:pPr>
            <w:r>
              <w:rPr>
                <w:i/>
                <w:iCs/>
              </w:rPr>
              <w:t>Signature précédée de la mention</w:t>
            </w:r>
            <w:r>
              <w:t xml:space="preserve"> </w:t>
            </w:r>
            <w:r>
              <w:rPr>
                <w:i/>
                <w:iCs/>
              </w:rPr>
              <w:t>« Lu et approuvé »</w:t>
            </w:r>
          </w:p>
        </w:tc>
        <w:tc>
          <w:tcPr>
            <w:tcW w:w="0" w:type="auto"/>
          </w:tcPr>
          <w:p w14:paraId="3EAD9981" w14:textId="77777777" w:rsidR="00BF2C09" w:rsidRDefault="00A66E4E">
            <w:pPr>
              <w:pStyle w:val="Compact"/>
            </w:pPr>
            <w:r>
              <w:rPr>
                <w:i/>
                <w:iCs/>
              </w:rPr>
              <w:t>Signature précédée de la mention</w:t>
            </w:r>
            <w:r>
              <w:t xml:space="preserve"> </w:t>
            </w:r>
            <w:r>
              <w:rPr>
                <w:i/>
                <w:iCs/>
              </w:rPr>
              <w:t>« Lu et approuvé »</w:t>
            </w:r>
          </w:p>
        </w:tc>
      </w:tr>
    </w:tbl>
    <w:p w14:paraId="3EAD9983" w14:textId="77777777" w:rsidR="00A66E4E" w:rsidRDefault="00A66E4E"/>
    <w:sectPr w:rsidR="00A66E4E">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5E353D" w14:textId="77777777" w:rsidR="00A66E4E" w:rsidRDefault="00A66E4E">
      <w:pPr>
        <w:spacing w:after="0"/>
      </w:pPr>
      <w:r>
        <w:separator/>
      </w:r>
    </w:p>
  </w:endnote>
  <w:endnote w:type="continuationSeparator" w:id="0">
    <w:p w14:paraId="79D93D85" w14:textId="77777777" w:rsidR="00A66E4E" w:rsidRDefault="00A66E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roman"/>
    <w:notTrueType/>
    <w:pitch w:val="default"/>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F0540" w14:textId="77777777" w:rsidR="00A66E4E" w:rsidRDefault="00A66E4E">
      <w:r>
        <w:separator/>
      </w:r>
    </w:p>
  </w:footnote>
  <w:footnote w:type="continuationSeparator" w:id="0">
    <w:p w14:paraId="7570EF48" w14:textId="77777777" w:rsidR="00A66E4E" w:rsidRDefault="00A66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25E195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6062320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09"/>
    <w:rsid w:val="00041978"/>
    <w:rsid w:val="00A6057D"/>
    <w:rsid w:val="00A66E4E"/>
    <w:rsid w:val="00AE6119"/>
    <w:rsid w:val="00B34DC0"/>
    <w:rsid w:val="00BF2C09"/>
    <w:rsid w:val="00EC5B8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AD98C1"/>
  <w15:docId w15:val="{C18901F6-39DB-054B-BE47-2F792188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uiPriority w:val="9"/>
    <w:qFormat/>
    <w:pPr>
      <w:keepNext/>
      <w:keepLines/>
      <w:spacing w:before="480" w:after="0"/>
      <w:outlineLvl w:val="0"/>
    </w:pPr>
    <w:rPr>
      <w:rFonts w:eastAsiaTheme="majorEastAsia" w:cstheme="majorBidi"/>
      <w:b/>
      <w:bCs/>
      <w:color w:val="0D3B4C"/>
      <w:sz w:val="32"/>
      <w:szCs w:val="32"/>
    </w:rPr>
  </w:style>
  <w:style w:type="paragraph" w:styleId="Titre2">
    <w:name w:val="heading 2"/>
    <w:basedOn w:val="Normal"/>
    <w:next w:val="Corpsdetexte"/>
    <w:uiPriority w:val="9"/>
    <w:unhideWhenUsed/>
    <w:qFormat/>
    <w:pPr>
      <w:keepNext/>
      <w:keepLines/>
      <w:spacing w:before="200" w:after="0"/>
      <w:outlineLvl w:val="1"/>
    </w:pPr>
    <w:rPr>
      <w:rFonts w:eastAsiaTheme="majorEastAsia" w:cstheme="majorBidi"/>
      <w:b/>
      <w:bCs/>
      <w:color w:val="0D3B4C"/>
      <w:sz w:val="28"/>
      <w:szCs w:val="28"/>
    </w:rPr>
  </w:style>
  <w:style w:type="paragraph" w:styleId="Titre3">
    <w:name w:val="heading 3"/>
    <w:basedOn w:val="Normal"/>
    <w:next w:val="Corpsdetexte"/>
    <w:uiPriority w:val="9"/>
    <w:unhideWhenUsed/>
    <w:qFormat/>
    <w:pPr>
      <w:keepNext/>
      <w:keepLines/>
      <w:spacing w:before="200" w:after="0"/>
      <w:outlineLvl w:val="2"/>
    </w:pPr>
    <w:rPr>
      <w:rFonts w:eastAsiaTheme="majorEastAsia" w:cstheme="majorBidi"/>
      <w:b/>
      <w:bCs/>
      <w:color w:val="0D3B4C"/>
    </w:rPr>
  </w:style>
  <w:style w:type="paragraph" w:styleId="Titre4">
    <w:name w:val="heading 4"/>
    <w:basedOn w:val="Normal"/>
    <w:next w:val="Corpsdetexte"/>
    <w:uiPriority w:val="9"/>
    <w:unhideWhenUsed/>
    <w:qFormat/>
    <w:pPr>
      <w:keepNext/>
      <w:keepLines/>
      <w:spacing w:before="200" w:after="0"/>
      <w:outlineLvl w:val="3"/>
    </w:pPr>
    <w:rPr>
      <w:rFonts w:eastAsiaTheme="majorEastAsia" w:cstheme="majorBidi"/>
      <w:bCs/>
      <w:i/>
      <w:color w:val="0D3B4C"/>
    </w:rPr>
  </w:style>
  <w:style w:type="paragraph" w:styleId="Titre5">
    <w:name w:val="heading 5"/>
    <w:basedOn w:val="Normal"/>
    <w:next w:val="Corpsdetexte"/>
    <w:uiPriority w:val="9"/>
    <w:unhideWhenUsed/>
    <w:qFormat/>
    <w:pPr>
      <w:keepNext/>
      <w:keepLines/>
      <w:spacing w:before="200" w:after="0"/>
      <w:outlineLvl w:val="4"/>
    </w:pPr>
    <w:rPr>
      <w:rFonts w:eastAsiaTheme="majorEastAsia" w:cstheme="majorBidi"/>
      <w:iCs/>
      <w:color w:val="0D3B4C"/>
    </w:rPr>
  </w:style>
  <w:style w:type="paragraph" w:styleId="Titre6">
    <w:name w:val="heading 6"/>
    <w:basedOn w:val="Normal"/>
    <w:next w:val="Corpsdetexte"/>
    <w:uiPriority w:val="9"/>
    <w:unhideWhenUsed/>
    <w:qFormat/>
    <w:pPr>
      <w:keepNext/>
      <w:keepLines/>
      <w:spacing w:before="200" w:after="0"/>
      <w:outlineLvl w:val="5"/>
    </w:pPr>
    <w:rPr>
      <w:rFonts w:eastAsiaTheme="majorEastAsia" w:cstheme="majorBidi"/>
      <w:color w:val="0D3B4C"/>
    </w:rPr>
  </w:style>
  <w:style w:type="paragraph" w:styleId="Titre7">
    <w:name w:val="heading 7"/>
    <w:basedOn w:val="Normal"/>
    <w:next w:val="Corpsdetexte"/>
    <w:uiPriority w:val="9"/>
    <w:unhideWhenUsed/>
    <w:qFormat/>
    <w:pPr>
      <w:keepNext/>
      <w:keepLines/>
      <w:spacing w:before="200" w:after="0"/>
      <w:outlineLvl w:val="6"/>
    </w:pPr>
    <w:rPr>
      <w:rFonts w:eastAsiaTheme="majorEastAsia" w:cstheme="majorBidi"/>
      <w:color w:val="0D3B4C"/>
    </w:rPr>
  </w:style>
  <w:style w:type="paragraph" w:styleId="Titre8">
    <w:name w:val="heading 8"/>
    <w:basedOn w:val="Normal"/>
    <w:next w:val="Corpsdetexte"/>
    <w:uiPriority w:val="9"/>
    <w:unhideWhenUsed/>
    <w:qFormat/>
    <w:pPr>
      <w:keepNext/>
      <w:keepLines/>
      <w:spacing w:before="200" w:after="0"/>
      <w:outlineLvl w:val="7"/>
    </w:pPr>
    <w:rPr>
      <w:rFonts w:eastAsiaTheme="majorEastAsia" w:cstheme="majorBidi"/>
      <w:color w:val="0D3B4C"/>
    </w:rPr>
  </w:style>
  <w:style w:type="paragraph" w:styleId="Titre9">
    <w:name w:val="heading 9"/>
    <w:basedOn w:val="Normal"/>
    <w:next w:val="Corpsdetexte"/>
    <w:uiPriority w:val="9"/>
    <w:unhideWhenUsed/>
    <w:qFormat/>
    <w:pPr>
      <w:keepNext/>
      <w:keepLines/>
      <w:spacing w:before="200" w:after="0"/>
      <w:outlineLvl w:val="8"/>
    </w:pPr>
    <w:rPr>
      <w:rFonts w:eastAsiaTheme="majorEastAsia" w:cstheme="majorBidi"/>
      <w:color w:val="0D3B4C"/>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qFormat/>
    <w:pPr>
      <w:keepNext/>
      <w:keepLines/>
      <w:spacing w:before="480" w:after="240"/>
      <w:jc w:val="center"/>
    </w:pPr>
    <w:rPr>
      <w:rFonts w:eastAsiaTheme="majorEastAsia" w:cstheme="majorBidi"/>
      <w:b/>
      <w:bCs/>
      <w:color w:val="345A8A" w:themeColor="accent1" w:themeShade="B5"/>
      <w:sz w:val="36"/>
      <w:szCs w:val="36"/>
    </w:rPr>
  </w:style>
  <w:style w:type="paragraph" w:styleId="Sous-titre">
    <w:name w:val="Subtitle"/>
    <w:basedOn w:val="Titre"/>
    <w:next w:val="Corpsdetexte"/>
    <w:qFormat/>
    <w:pPr>
      <w:spacing w:before="240"/>
    </w:pPr>
    <w:rPr>
      <w:sz w:val="30"/>
      <w:szCs w:val="30"/>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0D3B4C"/>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Georgia" w:hAnsi="Georgia"/>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0D3B4C"/>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Georgia" w:hAnsi="Georgia"/>
      <w:b/>
      <w:color w:val="007020"/>
      <w:sz w:val="22"/>
    </w:rPr>
  </w:style>
  <w:style w:type="character" w:customStyle="1" w:styleId="DataTypeTok">
    <w:name w:val="DataTypeTok"/>
    <w:basedOn w:val="VerbatimChar"/>
    <w:rPr>
      <w:rFonts w:ascii="Georgia" w:hAnsi="Georgia"/>
      <w:color w:val="902000"/>
      <w:sz w:val="22"/>
    </w:rPr>
  </w:style>
  <w:style w:type="character" w:customStyle="1" w:styleId="DecValTok">
    <w:name w:val="DecValTok"/>
    <w:basedOn w:val="VerbatimChar"/>
    <w:rPr>
      <w:rFonts w:ascii="Georgia" w:hAnsi="Georgia"/>
      <w:color w:val="40A070"/>
      <w:sz w:val="22"/>
    </w:rPr>
  </w:style>
  <w:style w:type="character" w:customStyle="1" w:styleId="BaseNTok">
    <w:name w:val="BaseNTok"/>
    <w:basedOn w:val="VerbatimChar"/>
    <w:rPr>
      <w:rFonts w:ascii="Georgia" w:hAnsi="Georgia"/>
      <w:color w:val="40A070"/>
      <w:sz w:val="22"/>
    </w:rPr>
  </w:style>
  <w:style w:type="character" w:customStyle="1" w:styleId="FloatTok">
    <w:name w:val="FloatTok"/>
    <w:basedOn w:val="VerbatimChar"/>
    <w:rPr>
      <w:rFonts w:ascii="Georgia" w:hAnsi="Georgia"/>
      <w:color w:val="40A070"/>
      <w:sz w:val="22"/>
    </w:rPr>
  </w:style>
  <w:style w:type="character" w:customStyle="1" w:styleId="ConstantTok">
    <w:name w:val="ConstantTok"/>
    <w:basedOn w:val="VerbatimChar"/>
    <w:rPr>
      <w:rFonts w:ascii="Georgia" w:hAnsi="Georgia"/>
      <w:color w:val="880000"/>
      <w:sz w:val="22"/>
    </w:rPr>
  </w:style>
  <w:style w:type="character" w:customStyle="1" w:styleId="CharTok">
    <w:name w:val="CharTok"/>
    <w:basedOn w:val="VerbatimChar"/>
    <w:rPr>
      <w:rFonts w:ascii="Georgia" w:hAnsi="Georgia"/>
      <w:color w:val="4070A0"/>
      <w:sz w:val="22"/>
    </w:rPr>
  </w:style>
  <w:style w:type="character" w:customStyle="1" w:styleId="SpecialCharTok">
    <w:name w:val="SpecialCharTok"/>
    <w:basedOn w:val="VerbatimChar"/>
    <w:rPr>
      <w:rFonts w:ascii="Georgia" w:hAnsi="Georgia"/>
      <w:color w:val="4070A0"/>
      <w:sz w:val="22"/>
    </w:rPr>
  </w:style>
  <w:style w:type="character" w:customStyle="1" w:styleId="StringTok">
    <w:name w:val="StringTok"/>
    <w:basedOn w:val="VerbatimChar"/>
    <w:rPr>
      <w:rFonts w:ascii="Georgia" w:hAnsi="Georgia"/>
      <w:color w:val="4070A0"/>
      <w:sz w:val="22"/>
    </w:rPr>
  </w:style>
  <w:style w:type="character" w:customStyle="1" w:styleId="VerbatimStringTok">
    <w:name w:val="VerbatimStringTok"/>
    <w:basedOn w:val="VerbatimChar"/>
    <w:rPr>
      <w:rFonts w:ascii="Georgia" w:hAnsi="Georgia"/>
      <w:color w:val="4070A0"/>
      <w:sz w:val="22"/>
    </w:rPr>
  </w:style>
  <w:style w:type="character" w:customStyle="1" w:styleId="SpecialStringTok">
    <w:name w:val="SpecialStringTok"/>
    <w:basedOn w:val="VerbatimChar"/>
    <w:rPr>
      <w:rFonts w:ascii="Georgia" w:hAnsi="Georgia"/>
      <w:color w:val="BB6688"/>
      <w:sz w:val="22"/>
    </w:rPr>
  </w:style>
  <w:style w:type="character" w:customStyle="1" w:styleId="ImportTok">
    <w:name w:val="ImportTok"/>
    <w:basedOn w:val="VerbatimChar"/>
    <w:rPr>
      <w:rFonts w:ascii="Georgia" w:hAnsi="Georgia"/>
      <w:b/>
      <w:color w:val="008000"/>
      <w:sz w:val="22"/>
    </w:rPr>
  </w:style>
  <w:style w:type="character" w:customStyle="1" w:styleId="CommentTok">
    <w:name w:val="CommentTok"/>
    <w:basedOn w:val="VerbatimChar"/>
    <w:rPr>
      <w:rFonts w:ascii="Georgia" w:hAnsi="Georgia"/>
      <w:i/>
      <w:color w:val="60A0B0"/>
      <w:sz w:val="22"/>
    </w:rPr>
  </w:style>
  <w:style w:type="character" w:customStyle="1" w:styleId="DocumentationTok">
    <w:name w:val="DocumentationTok"/>
    <w:basedOn w:val="VerbatimChar"/>
    <w:rPr>
      <w:rFonts w:ascii="Georgia" w:hAnsi="Georgia"/>
      <w:i/>
      <w:color w:val="BA2121"/>
      <w:sz w:val="22"/>
    </w:rPr>
  </w:style>
  <w:style w:type="character" w:customStyle="1" w:styleId="AnnotationTok">
    <w:name w:val="AnnotationTok"/>
    <w:basedOn w:val="VerbatimChar"/>
    <w:rPr>
      <w:rFonts w:ascii="Georgia" w:hAnsi="Georgia"/>
      <w:b/>
      <w:i/>
      <w:color w:val="60A0B0"/>
      <w:sz w:val="22"/>
    </w:rPr>
  </w:style>
  <w:style w:type="character" w:customStyle="1" w:styleId="CommentVarTok">
    <w:name w:val="CommentVarTok"/>
    <w:basedOn w:val="VerbatimChar"/>
    <w:rPr>
      <w:rFonts w:ascii="Georgia" w:hAnsi="Georgia"/>
      <w:b/>
      <w:i/>
      <w:color w:val="60A0B0"/>
      <w:sz w:val="22"/>
    </w:rPr>
  </w:style>
  <w:style w:type="character" w:customStyle="1" w:styleId="OtherTok">
    <w:name w:val="OtherTok"/>
    <w:basedOn w:val="VerbatimChar"/>
    <w:rPr>
      <w:rFonts w:ascii="Georgia" w:hAnsi="Georgia"/>
      <w:color w:val="007020"/>
      <w:sz w:val="22"/>
    </w:rPr>
  </w:style>
  <w:style w:type="character" w:customStyle="1" w:styleId="FunctionTok">
    <w:name w:val="FunctionTok"/>
    <w:basedOn w:val="VerbatimChar"/>
    <w:rPr>
      <w:rFonts w:ascii="Georgia" w:hAnsi="Georgia"/>
      <w:color w:val="06287E"/>
      <w:sz w:val="22"/>
    </w:rPr>
  </w:style>
  <w:style w:type="character" w:customStyle="1" w:styleId="VariableTok">
    <w:name w:val="VariableTok"/>
    <w:basedOn w:val="VerbatimChar"/>
    <w:rPr>
      <w:rFonts w:ascii="Georgia" w:hAnsi="Georgia"/>
      <w:color w:val="19177C"/>
      <w:sz w:val="22"/>
    </w:rPr>
  </w:style>
  <w:style w:type="character" w:customStyle="1" w:styleId="ControlFlowTok">
    <w:name w:val="ControlFlowTok"/>
    <w:basedOn w:val="VerbatimChar"/>
    <w:rPr>
      <w:rFonts w:ascii="Georgia" w:hAnsi="Georgia"/>
      <w:b/>
      <w:color w:val="007020"/>
      <w:sz w:val="22"/>
    </w:rPr>
  </w:style>
  <w:style w:type="character" w:customStyle="1" w:styleId="OperatorTok">
    <w:name w:val="OperatorTok"/>
    <w:basedOn w:val="VerbatimChar"/>
    <w:rPr>
      <w:rFonts w:ascii="Georgia" w:hAnsi="Georgia"/>
      <w:color w:val="666666"/>
      <w:sz w:val="22"/>
    </w:rPr>
  </w:style>
  <w:style w:type="character" w:customStyle="1" w:styleId="BuiltInTok">
    <w:name w:val="BuiltInTok"/>
    <w:basedOn w:val="VerbatimChar"/>
    <w:rPr>
      <w:rFonts w:ascii="Georgia" w:hAnsi="Georgia"/>
      <w:color w:val="008000"/>
      <w:sz w:val="22"/>
    </w:rPr>
  </w:style>
  <w:style w:type="character" w:customStyle="1" w:styleId="ExtensionTok">
    <w:name w:val="ExtensionTok"/>
    <w:basedOn w:val="VerbatimChar"/>
    <w:rPr>
      <w:rFonts w:ascii="Georgia" w:hAnsi="Georgia"/>
      <w:sz w:val="22"/>
    </w:rPr>
  </w:style>
  <w:style w:type="character" w:customStyle="1" w:styleId="PreprocessorTok">
    <w:name w:val="PreprocessorTok"/>
    <w:basedOn w:val="VerbatimChar"/>
    <w:rPr>
      <w:rFonts w:ascii="Georgia" w:hAnsi="Georgia"/>
      <w:color w:val="BC7A00"/>
      <w:sz w:val="22"/>
    </w:rPr>
  </w:style>
  <w:style w:type="character" w:customStyle="1" w:styleId="AttributeTok">
    <w:name w:val="AttributeTok"/>
    <w:basedOn w:val="VerbatimChar"/>
    <w:rPr>
      <w:rFonts w:ascii="Georgia" w:hAnsi="Georgia"/>
      <w:color w:val="7D9029"/>
      <w:sz w:val="22"/>
    </w:rPr>
  </w:style>
  <w:style w:type="character" w:customStyle="1" w:styleId="RegionMarkerTok">
    <w:name w:val="RegionMarkerTok"/>
    <w:basedOn w:val="VerbatimChar"/>
    <w:rPr>
      <w:rFonts w:ascii="Georgia" w:hAnsi="Georgia"/>
      <w:sz w:val="22"/>
    </w:rPr>
  </w:style>
  <w:style w:type="character" w:customStyle="1" w:styleId="InformationTok">
    <w:name w:val="InformationTok"/>
    <w:basedOn w:val="VerbatimChar"/>
    <w:rPr>
      <w:rFonts w:ascii="Georgia" w:hAnsi="Georgia"/>
      <w:b/>
      <w:i/>
      <w:color w:val="60A0B0"/>
      <w:sz w:val="22"/>
    </w:rPr>
  </w:style>
  <w:style w:type="character" w:customStyle="1" w:styleId="WarningTok">
    <w:name w:val="WarningTok"/>
    <w:basedOn w:val="VerbatimChar"/>
    <w:rPr>
      <w:rFonts w:ascii="Georgia" w:hAnsi="Georgia"/>
      <w:b/>
      <w:i/>
      <w:color w:val="60A0B0"/>
      <w:sz w:val="22"/>
    </w:rPr>
  </w:style>
  <w:style w:type="character" w:customStyle="1" w:styleId="AlertTok">
    <w:name w:val="AlertTok"/>
    <w:basedOn w:val="VerbatimChar"/>
    <w:rPr>
      <w:rFonts w:ascii="Georgia" w:hAnsi="Georgia"/>
      <w:b/>
      <w:color w:val="FF0000"/>
      <w:sz w:val="22"/>
    </w:rPr>
  </w:style>
  <w:style w:type="character" w:customStyle="1" w:styleId="ErrorTok">
    <w:name w:val="ErrorTok"/>
    <w:basedOn w:val="VerbatimChar"/>
    <w:rPr>
      <w:rFonts w:ascii="Georgia" w:hAnsi="Georgia"/>
      <w:b/>
      <w:color w:val="FF0000"/>
      <w:sz w:val="22"/>
    </w:rPr>
  </w:style>
  <w:style w:type="character" w:customStyle="1" w:styleId="NormalTok">
    <w:name w:val="NormalTok"/>
    <w:basedOn w:val="VerbatimChar"/>
    <w:rPr>
      <w:rFonts w:ascii="Georgia" w:hAnsi="Georg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1772</Words>
  <Characters>9751</Characters>
  <Application>Microsoft Office Word</Application>
  <DocSecurity>0</DocSecurity>
  <Lines>81</Lines>
  <Paragraphs>22</Paragraphs>
  <ScaleCrop>false</ScaleCrop>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Servane Leaignel</dc:creator>
  <cp:keywords/>
  <cp:lastModifiedBy>Servane Leaignel</cp:lastModifiedBy>
  <cp:revision>2</cp:revision>
  <dcterms:created xsi:type="dcterms:W3CDTF">2026-10-04T20:31:00Z</dcterms:created>
  <dcterms:modified xsi:type="dcterms:W3CDTF">2026-10-04T20:31:00Z</dcterms:modified>
</cp:coreProperties>
</file>